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FA" w:rsidRPr="0019364D" w:rsidRDefault="005028FA">
      <w:pPr>
        <w:rPr>
          <w:rFonts w:ascii="Calibri Light" w:hAnsi="Calibri Light" w:cs="Calibri Light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6"/>
        <w:gridCol w:w="2406"/>
        <w:gridCol w:w="95"/>
        <w:gridCol w:w="1058"/>
        <w:gridCol w:w="271"/>
        <w:gridCol w:w="426"/>
        <w:gridCol w:w="982"/>
        <w:gridCol w:w="1278"/>
      </w:tblGrid>
      <w:tr w:rsidR="005028FA" w:rsidRPr="002F5570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>Kod i naziv kolegija</w:t>
            </w:r>
          </w:p>
        </w:tc>
        <w:tc>
          <w:tcPr>
            <w:tcW w:w="6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28FA" w:rsidRPr="002F5570" w:rsidRDefault="005028FA" w:rsidP="005E536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2F5570">
              <w:rPr>
                <w:rFonts w:ascii="Calibri Light" w:hAnsi="Calibri Light" w:cs="Calibri Light"/>
                <w:b/>
                <w:bCs/>
              </w:rPr>
              <w:t>88900, UKBKITD, UPRAVLJANJE KULTURNOM BAŠTINOM</w:t>
            </w:r>
          </w:p>
        </w:tc>
      </w:tr>
      <w:tr w:rsidR="005028FA" w:rsidRPr="002F5570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 xml:space="preserve">Nastavnik/nastavnica </w:t>
            </w:r>
          </w:p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>Suradnik/suradnica</w:t>
            </w:r>
          </w:p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>(s poveznicom na mrežnu str.)</w:t>
            </w:r>
          </w:p>
        </w:tc>
        <w:tc>
          <w:tcPr>
            <w:tcW w:w="6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>Doc.dr.sc. Tea Golja (nositeljica)</w:t>
            </w:r>
          </w:p>
          <w:p w:rsidR="005028FA" w:rsidRPr="002F5570" w:rsidRDefault="005028FA" w:rsidP="00E6661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 xml:space="preserve">Dr.sc. Nataša </w:t>
            </w:r>
            <w:proofErr w:type="spellStart"/>
            <w:r w:rsidRPr="002F5570">
              <w:rPr>
                <w:rFonts w:ascii="Calibri Light" w:hAnsi="Calibri Light" w:cs="Calibri Light"/>
              </w:rPr>
              <w:t>Urošević</w:t>
            </w:r>
            <w:proofErr w:type="spellEnd"/>
            <w:r w:rsidRPr="002F5570">
              <w:rPr>
                <w:rFonts w:ascii="Calibri Light" w:hAnsi="Calibri Light" w:cs="Calibri Light"/>
              </w:rPr>
              <w:t xml:space="preserve">  </w:t>
            </w:r>
          </w:p>
        </w:tc>
      </w:tr>
      <w:tr w:rsidR="005028FA" w:rsidRPr="002F5570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>Studijski program</w:t>
            </w:r>
          </w:p>
        </w:tc>
        <w:tc>
          <w:tcPr>
            <w:tcW w:w="6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>Interdisciplinarni studij kulture i turizma</w:t>
            </w:r>
          </w:p>
        </w:tc>
      </w:tr>
      <w:tr w:rsidR="005028FA" w:rsidRPr="002F5570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>Vrsta kolegija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 xml:space="preserve">Obvezan </w:t>
            </w:r>
          </w:p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>Razina kolegija</w:t>
            </w:r>
          </w:p>
        </w:tc>
        <w:tc>
          <w:tcPr>
            <w:tcW w:w="2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:rsidR="005028FA" w:rsidRPr="002F5570" w:rsidRDefault="005028FA" w:rsidP="000E1C31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>Diplomski</w:t>
            </w:r>
          </w:p>
        </w:tc>
      </w:tr>
      <w:tr w:rsidR="005028FA" w:rsidRPr="002F5570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>Semestar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>Zimski</w:t>
            </w:r>
          </w:p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>Godina studija</w:t>
            </w:r>
          </w:p>
        </w:tc>
        <w:tc>
          <w:tcPr>
            <w:tcW w:w="2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 xml:space="preserve">I.  </w:t>
            </w:r>
          </w:p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5028FA" w:rsidRPr="002F5570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 w:rsidRPr="002F5570">
              <w:rPr>
                <w:rFonts w:ascii="Calibri Light" w:hAnsi="Calibri Light" w:cs="Calibri Light"/>
                <w:lang w:val="en-US"/>
              </w:rPr>
              <w:t>Mjesto</w:t>
            </w:r>
            <w:proofErr w:type="spellEnd"/>
            <w:r w:rsidRPr="002F5570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2F5570">
              <w:rPr>
                <w:rFonts w:ascii="Calibri Light" w:hAnsi="Calibri Light" w:cs="Calibri Light"/>
                <w:lang w:val="en-US"/>
              </w:rPr>
              <w:t>izvođenja</w:t>
            </w:r>
            <w:proofErr w:type="spellEnd"/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28FA" w:rsidRPr="002F5570" w:rsidRDefault="005028FA" w:rsidP="00AD54B2">
            <w:pPr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 w:rsidRPr="002F5570">
              <w:rPr>
                <w:rFonts w:ascii="Calibri Light" w:hAnsi="Calibri Light" w:cs="Calibri Light"/>
              </w:rPr>
              <w:t>predavaona</w:t>
            </w:r>
            <w:proofErr w:type="spellEnd"/>
            <w:r w:rsidRPr="002F5570">
              <w:rPr>
                <w:rFonts w:ascii="Calibri Light" w:hAnsi="Calibri Light" w:cs="Calibri Light"/>
              </w:rPr>
              <w:t xml:space="preserve"> , terenska nastava</w:t>
            </w:r>
          </w:p>
        </w:tc>
        <w:tc>
          <w:tcPr>
            <w:tcW w:w="1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 w:rsidRPr="002F5570">
              <w:rPr>
                <w:rFonts w:ascii="Calibri Light" w:hAnsi="Calibri Light" w:cs="Calibri Light"/>
                <w:lang w:val="en-US"/>
              </w:rPr>
              <w:t>Jezik</w:t>
            </w:r>
            <w:proofErr w:type="spellEnd"/>
            <w:r w:rsidRPr="002F5570">
              <w:rPr>
                <w:rFonts w:ascii="Calibri Light" w:hAnsi="Calibri Light" w:cs="Calibri Light"/>
              </w:rPr>
              <w:t xml:space="preserve"> izvođenja (drugi jezici)</w:t>
            </w:r>
          </w:p>
        </w:tc>
        <w:tc>
          <w:tcPr>
            <w:tcW w:w="2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>hrvatski, engleski</w:t>
            </w:r>
          </w:p>
        </w:tc>
      </w:tr>
      <w:tr w:rsidR="005028FA" w:rsidRPr="002F5570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>Broj ECTS bodova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1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>Broj sati u semestru</w:t>
            </w:r>
          </w:p>
        </w:tc>
        <w:tc>
          <w:tcPr>
            <w:tcW w:w="2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28FA" w:rsidRPr="002F5570" w:rsidRDefault="005028FA" w:rsidP="00C26CD1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 xml:space="preserve">30P – 0V – 30S   </w:t>
            </w:r>
          </w:p>
        </w:tc>
      </w:tr>
      <w:tr w:rsidR="005028FA" w:rsidRPr="002F5570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>Preduvjeti</w:t>
            </w:r>
          </w:p>
        </w:tc>
        <w:tc>
          <w:tcPr>
            <w:tcW w:w="6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>Mogućnost praćenja literature na stranom jeziku (engleskom)</w:t>
            </w:r>
          </w:p>
        </w:tc>
      </w:tr>
      <w:tr w:rsidR="005028FA" w:rsidRPr="002F5570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 w:rsidRPr="002F5570">
              <w:rPr>
                <w:rFonts w:ascii="Calibri Light" w:hAnsi="Calibri Light" w:cs="Calibri Light"/>
                <w:lang w:val="en-US"/>
              </w:rPr>
              <w:t>Korelativnost</w:t>
            </w:r>
            <w:proofErr w:type="spellEnd"/>
          </w:p>
        </w:tc>
        <w:tc>
          <w:tcPr>
            <w:tcW w:w="6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>-</w:t>
            </w:r>
          </w:p>
        </w:tc>
      </w:tr>
      <w:tr w:rsidR="005028FA" w:rsidRPr="002F5570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 xml:space="preserve">Cilj kolegija </w:t>
            </w:r>
          </w:p>
        </w:tc>
        <w:tc>
          <w:tcPr>
            <w:tcW w:w="6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28FA" w:rsidRPr="002F5570" w:rsidRDefault="005028FA" w:rsidP="000B567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>Usvojiti kompetencije i primijeniti stečena znanja potrebna za uspješno upravljanje kulturnom baštinom i njenu implementaciju u proizvode kulturnog turizma.</w:t>
            </w:r>
          </w:p>
        </w:tc>
      </w:tr>
      <w:tr w:rsidR="005028FA" w:rsidRPr="002F5570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>Ishodi učenja</w:t>
            </w:r>
          </w:p>
        </w:tc>
        <w:tc>
          <w:tcPr>
            <w:tcW w:w="6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28FA" w:rsidRPr="002F5570" w:rsidRDefault="005028FA" w:rsidP="00FC51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 xml:space="preserve">Pravilno interpretirati koncept i karakteristike kulturne baštine i odrediti važnost zaštite kulturne baštine </w:t>
            </w:r>
          </w:p>
          <w:p w:rsidR="005028FA" w:rsidRPr="002F5570" w:rsidRDefault="005028FA" w:rsidP="00FC51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 xml:space="preserve">Objasniti proces i ulogu menadžmenta kulturne baštine </w:t>
            </w:r>
          </w:p>
          <w:p w:rsidR="005028FA" w:rsidRPr="002F5570" w:rsidRDefault="005028FA" w:rsidP="00B61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 xml:space="preserve">Izdvojiti bitna obilježja i specifičnosti različitih modela upravljanja kulturnom baštinom </w:t>
            </w:r>
          </w:p>
          <w:p w:rsidR="005028FA" w:rsidRPr="002F5570" w:rsidRDefault="005028FA" w:rsidP="00B617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>Nabrojati interesne dionike iz okoline i procijeniti njihovu ulogu u implementaciji kulturne baštine u proizvode kulturnog turizma</w:t>
            </w:r>
          </w:p>
          <w:p w:rsidR="005028FA" w:rsidRPr="002F5570" w:rsidRDefault="005028FA" w:rsidP="00FC51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 xml:space="preserve">Preporučiti poželjan model upravljanja kulturnom baštinom u svrhu održivog razvoja baštine </w:t>
            </w:r>
          </w:p>
          <w:p w:rsidR="005028FA" w:rsidRPr="002F5570" w:rsidRDefault="005028FA" w:rsidP="00FC51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>Razviti inovativne prijedloge proizvoda kulturnog turizma</w:t>
            </w:r>
            <w:r w:rsidR="00186592">
              <w:rPr>
                <w:rFonts w:ascii="Calibri Light" w:hAnsi="Calibri Light" w:cs="Calibri Light"/>
              </w:rPr>
              <w:t xml:space="preserve"> koji se temelje na valorizaciji</w:t>
            </w:r>
            <w:r w:rsidRPr="002F5570">
              <w:rPr>
                <w:rFonts w:ascii="Calibri Light" w:hAnsi="Calibri Light" w:cs="Calibri Light"/>
              </w:rPr>
              <w:t xml:space="preserve"> kulturne nematerijalne i materijalne baštine</w:t>
            </w:r>
          </w:p>
        </w:tc>
      </w:tr>
      <w:tr w:rsidR="005028FA" w:rsidRPr="002F5570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>Sadržaj kolegija</w:t>
            </w:r>
          </w:p>
        </w:tc>
        <w:tc>
          <w:tcPr>
            <w:tcW w:w="6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28FA" w:rsidRPr="002F5570" w:rsidRDefault="005028FA" w:rsidP="000B567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 Light" w:hAnsi="Calibri Light" w:cs="Calibri Light"/>
                <w:i/>
                <w:iCs/>
              </w:rPr>
            </w:pPr>
            <w:r w:rsidRPr="002F5570">
              <w:rPr>
                <w:rFonts w:ascii="Calibri Light" w:hAnsi="Calibri Light" w:cs="Calibri Light"/>
                <w:i/>
                <w:iCs/>
              </w:rPr>
              <w:t>Određenje pojma i važnosti kulturne baštine</w:t>
            </w:r>
          </w:p>
          <w:p w:rsidR="005028FA" w:rsidRPr="002F5570" w:rsidRDefault="005028FA" w:rsidP="000B567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 Light" w:hAnsi="Calibri Light" w:cs="Calibri Light"/>
                <w:i/>
                <w:iCs/>
              </w:rPr>
            </w:pPr>
            <w:r w:rsidRPr="002F5570">
              <w:rPr>
                <w:rFonts w:ascii="Calibri Light" w:hAnsi="Calibri Light" w:cs="Calibri Light"/>
                <w:i/>
                <w:iCs/>
              </w:rPr>
              <w:t xml:space="preserve">Zaštićena svjetska materijalna i nematerijalna baština – </w:t>
            </w:r>
            <w:proofErr w:type="spellStart"/>
            <w:r w:rsidRPr="002F5570">
              <w:rPr>
                <w:rFonts w:ascii="Calibri Light" w:hAnsi="Calibri Light" w:cs="Calibri Light"/>
                <w:i/>
                <w:iCs/>
              </w:rPr>
              <w:t>nominacijski</w:t>
            </w:r>
            <w:proofErr w:type="spellEnd"/>
            <w:r w:rsidRPr="002F5570">
              <w:rPr>
                <w:rFonts w:ascii="Calibri Light" w:hAnsi="Calibri Light" w:cs="Calibri Light"/>
                <w:i/>
                <w:iCs/>
              </w:rPr>
              <w:t xml:space="preserve"> proces, kriteriji i koristi zaštite baštine</w:t>
            </w:r>
          </w:p>
          <w:p w:rsidR="005028FA" w:rsidRPr="002F5570" w:rsidRDefault="005028FA" w:rsidP="000B567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 Light" w:hAnsi="Calibri Light" w:cs="Calibri Light"/>
                <w:i/>
                <w:iCs/>
              </w:rPr>
            </w:pPr>
            <w:r w:rsidRPr="002F5570">
              <w:rPr>
                <w:rFonts w:ascii="Calibri Light" w:hAnsi="Calibri Light" w:cs="Calibri Light"/>
                <w:i/>
                <w:iCs/>
              </w:rPr>
              <w:t xml:space="preserve">Sustav menadžmenta baštine – upravljanje (interni i eksterni mehanizmi i modeli upravljanja) i proces menadžmenta </w:t>
            </w:r>
          </w:p>
          <w:p w:rsidR="005028FA" w:rsidRPr="002F5570" w:rsidRDefault="005028FA" w:rsidP="000B567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 Light" w:hAnsi="Calibri Light" w:cs="Calibri Light"/>
                <w:i/>
                <w:iCs/>
              </w:rPr>
            </w:pPr>
            <w:r w:rsidRPr="002F5570">
              <w:rPr>
                <w:rFonts w:ascii="Calibri Light" w:hAnsi="Calibri Light" w:cs="Calibri Light"/>
                <w:i/>
                <w:iCs/>
              </w:rPr>
              <w:t>Identifikacija interesnih dionika u svrhu održivog upravljanja kulturnom baštinom</w:t>
            </w:r>
          </w:p>
          <w:p w:rsidR="005028FA" w:rsidRPr="002F5570" w:rsidRDefault="005028FA" w:rsidP="000B567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 Light" w:hAnsi="Calibri Light" w:cs="Calibri Light"/>
                <w:i/>
                <w:iCs/>
              </w:rPr>
            </w:pPr>
            <w:r w:rsidRPr="002F5570">
              <w:rPr>
                <w:rFonts w:ascii="Calibri Light" w:hAnsi="Calibri Light" w:cs="Calibri Light"/>
                <w:i/>
                <w:iCs/>
              </w:rPr>
              <w:lastRenderedPageBreak/>
              <w:t>Održivi razvoj kulturne baštine – implementacija kulturne baštine u kulturno-turističke proizvode</w:t>
            </w:r>
          </w:p>
          <w:p w:rsidR="005028FA" w:rsidRPr="002F5570" w:rsidRDefault="005028FA" w:rsidP="000B567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 Light" w:hAnsi="Calibri Light" w:cs="Calibri Light"/>
                <w:i/>
                <w:iCs/>
              </w:rPr>
            </w:pPr>
            <w:r w:rsidRPr="002F5570">
              <w:rPr>
                <w:rFonts w:ascii="Calibri Light" w:hAnsi="Calibri Light" w:cs="Calibri Light"/>
                <w:i/>
                <w:iCs/>
              </w:rPr>
              <w:t>Kulturna baština i urbani razvoj grada – kreativni gradovi</w:t>
            </w:r>
          </w:p>
          <w:p w:rsidR="005028FA" w:rsidRPr="002F5570" w:rsidRDefault="005028FA" w:rsidP="000B567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 Light" w:hAnsi="Calibri Light" w:cs="Calibri Light"/>
                <w:i/>
                <w:iCs/>
              </w:rPr>
            </w:pPr>
            <w:r w:rsidRPr="002F5570">
              <w:rPr>
                <w:rFonts w:ascii="Calibri Light" w:hAnsi="Calibri Light" w:cs="Calibri Light"/>
                <w:i/>
                <w:iCs/>
              </w:rPr>
              <w:t xml:space="preserve">Primjeri dobre prakse upravljanja </w:t>
            </w:r>
          </w:p>
          <w:p w:rsidR="005028FA" w:rsidRPr="002F5570" w:rsidRDefault="005028FA" w:rsidP="000B567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  <w:i/>
                <w:iCs/>
              </w:rPr>
              <w:t>Primjeri dobre prakse kreativnih gradova</w:t>
            </w:r>
          </w:p>
        </w:tc>
      </w:tr>
      <w:tr w:rsidR="005028FA" w:rsidRPr="002F5570"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lastRenderedPageBreak/>
              <w:t>Planirane aktivnosti</w:t>
            </w:r>
            <w:r w:rsidRPr="002F5570">
              <w:rPr>
                <w:rFonts w:ascii="Calibri Light" w:hAnsi="Calibri Light" w:cs="Calibri Light"/>
                <w:lang w:val="en-US"/>
              </w:rPr>
              <w:t>,</w:t>
            </w:r>
          </w:p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 w:rsidRPr="002F5570">
              <w:rPr>
                <w:rFonts w:ascii="Calibri Light" w:hAnsi="Calibri Light" w:cs="Calibri Light"/>
                <w:lang w:val="en-US"/>
              </w:rPr>
              <w:t>metode</w:t>
            </w:r>
            <w:proofErr w:type="spellEnd"/>
            <w:r w:rsidRPr="002F5570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2F5570">
              <w:rPr>
                <w:rFonts w:ascii="Calibri Light" w:hAnsi="Calibri Light" w:cs="Calibri Light"/>
              </w:rPr>
              <w:t>učenja i poučavanja i načini vrednovanja</w:t>
            </w:r>
          </w:p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  <w:lang w:val="en-US"/>
              </w:rPr>
              <w:t>(</w:t>
            </w:r>
            <w:proofErr w:type="spellStart"/>
            <w:r w:rsidRPr="002F5570">
              <w:rPr>
                <w:rFonts w:ascii="Calibri Light" w:hAnsi="Calibri Light" w:cs="Calibri Light"/>
                <w:lang w:val="en-US"/>
              </w:rPr>
              <w:t>alternativno</w:t>
            </w:r>
            <w:proofErr w:type="spellEnd"/>
            <w:r w:rsidRPr="002F5570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2F5570">
              <w:rPr>
                <w:rFonts w:ascii="Calibri Light" w:hAnsi="Calibri Light" w:cs="Calibri Light"/>
                <w:lang w:val="en-US"/>
              </w:rPr>
              <w:t>stjecanje</w:t>
            </w:r>
            <w:proofErr w:type="spellEnd"/>
            <w:r w:rsidRPr="002F5570">
              <w:rPr>
                <w:rFonts w:ascii="Calibri Light" w:hAnsi="Calibri Light" w:cs="Calibri Light"/>
              </w:rPr>
              <w:t xml:space="preserve"> navesti u studentskim obvezama</w:t>
            </w:r>
            <w:r w:rsidRPr="002F5570">
              <w:rPr>
                <w:rFonts w:ascii="Calibri Light" w:hAnsi="Calibri Light" w:cs="Calibri Light"/>
                <w:lang w:val="en-US"/>
              </w:rPr>
              <w:t>)</w:t>
            </w:r>
          </w:p>
        </w:tc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  <w:b/>
                <w:bCs/>
              </w:rPr>
              <w:t>Obveze</w:t>
            </w:r>
            <w:r w:rsidRPr="002F5570">
              <w:rPr>
                <w:rFonts w:ascii="Calibri Light" w:hAnsi="Calibri Light" w:cs="Calibri Light"/>
                <w:b/>
                <w:bCs/>
                <w:lang w:val="en-US"/>
              </w:rPr>
              <w:t xml:space="preserve"> </w:t>
            </w:r>
          </w:p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  <w:b/>
                <w:bCs/>
              </w:rPr>
              <w:t>Ishodi</w:t>
            </w:r>
          </w:p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>(navodi se redni broj)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  <w:b/>
                <w:bCs/>
              </w:rPr>
              <w:t>Sati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  <w:b/>
                <w:bCs/>
              </w:rPr>
              <w:t>Udio u ECTS-u*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  <w:b/>
                <w:bCs/>
              </w:rPr>
              <w:t>Maksimalni udio u ocjeni</w:t>
            </w:r>
            <w:r w:rsidRPr="002F5570">
              <w:rPr>
                <w:rFonts w:ascii="Calibri Light" w:hAnsi="Calibri Light" w:cs="Calibri Light"/>
                <w:b/>
                <w:bCs/>
                <w:lang w:val="en-US"/>
              </w:rPr>
              <w:t xml:space="preserve"> (%)</w:t>
            </w:r>
          </w:p>
        </w:tc>
      </w:tr>
      <w:tr w:rsidR="005028FA" w:rsidRPr="002F5570">
        <w:tc>
          <w:tcPr>
            <w:tcW w:w="2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2F5570">
              <w:rPr>
                <w:rFonts w:ascii="Calibri Light" w:hAnsi="Calibri Light" w:cs="Calibri Light"/>
                <w:b/>
                <w:bCs/>
                <w:lang w:val="en-US"/>
              </w:rPr>
              <w:t>p</w:t>
            </w:r>
            <w:proofErr w:type="spellStart"/>
            <w:r w:rsidRPr="002F5570">
              <w:rPr>
                <w:rFonts w:ascii="Calibri Light" w:hAnsi="Calibri Light" w:cs="Calibri Light"/>
                <w:b/>
                <w:bCs/>
              </w:rPr>
              <w:t>ohađanje</w:t>
            </w:r>
            <w:proofErr w:type="spellEnd"/>
            <w:r w:rsidRPr="002F5570">
              <w:rPr>
                <w:rFonts w:ascii="Calibri Light" w:hAnsi="Calibri Light" w:cs="Calibri Light"/>
                <w:b/>
                <w:bCs/>
              </w:rPr>
              <w:t xml:space="preserve"> P, S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> 1-6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> 45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28FA" w:rsidRPr="002F5570" w:rsidRDefault="005028FA" w:rsidP="000E1C31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>1,6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28FA" w:rsidRPr="002F5570" w:rsidRDefault="005028FA" w:rsidP="000E1C31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>10</w:t>
            </w:r>
          </w:p>
        </w:tc>
      </w:tr>
      <w:tr w:rsidR="005028FA" w:rsidRPr="002F5570">
        <w:tc>
          <w:tcPr>
            <w:tcW w:w="2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2F5570">
              <w:rPr>
                <w:rFonts w:ascii="Calibri Light" w:hAnsi="Calibri Light" w:cs="Calibri Light"/>
                <w:b/>
                <w:bCs/>
              </w:rPr>
              <w:t>terenska nastava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> 1-4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> 11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28FA" w:rsidRPr="002F5570" w:rsidRDefault="005028FA" w:rsidP="000E1C31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>0,4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28FA" w:rsidRPr="002F5570" w:rsidRDefault="005028FA" w:rsidP="000E1C31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>5</w:t>
            </w:r>
          </w:p>
        </w:tc>
      </w:tr>
      <w:tr w:rsidR="005028FA" w:rsidRPr="002F5570">
        <w:tc>
          <w:tcPr>
            <w:tcW w:w="2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8FA" w:rsidRPr="002F5570" w:rsidRDefault="005028FA" w:rsidP="00780849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  <w:b/>
                <w:bCs/>
              </w:rPr>
              <w:t>pismeni radovi</w:t>
            </w:r>
            <w:r w:rsidRPr="002F5570">
              <w:rPr>
                <w:rFonts w:ascii="Calibri Light" w:hAnsi="Calibri Light" w:cs="Calibri Light"/>
              </w:rPr>
              <w:t xml:space="preserve"> (projekt)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> 1-6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> 28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28FA" w:rsidRPr="002F5570" w:rsidRDefault="005028FA" w:rsidP="000E1C31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28FA" w:rsidRPr="002F5570" w:rsidRDefault="005028FA" w:rsidP="000E1C31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>35</w:t>
            </w:r>
          </w:p>
        </w:tc>
      </w:tr>
      <w:tr w:rsidR="005028FA" w:rsidRPr="002F5570">
        <w:tc>
          <w:tcPr>
            <w:tcW w:w="2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8FA" w:rsidRPr="002F5570" w:rsidRDefault="005028FA" w:rsidP="005D2A01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  <w:b/>
                <w:bCs/>
              </w:rPr>
              <w:t>ispit</w:t>
            </w:r>
            <w:r w:rsidRPr="002F5570">
              <w:rPr>
                <w:rFonts w:ascii="Calibri Light" w:hAnsi="Calibri Light" w:cs="Calibri Light"/>
              </w:rPr>
              <w:t xml:space="preserve"> (pismeni)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> 1-6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> 56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28FA" w:rsidRPr="002F5570" w:rsidRDefault="005028FA" w:rsidP="000E1C31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28FA" w:rsidRPr="002F5570" w:rsidRDefault="005028FA" w:rsidP="000E1C31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>50</w:t>
            </w:r>
          </w:p>
        </w:tc>
      </w:tr>
      <w:tr w:rsidR="005028FA" w:rsidRPr="002F5570">
        <w:tc>
          <w:tcPr>
            <w:tcW w:w="2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6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8FA" w:rsidRPr="002F5570" w:rsidRDefault="00D25D89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 w:rsidRPr="002F5570">
              <w:rPr>
                <w:rFonts w:ascii="Calibri Light" w:hAnsi="Calibri Light" w:cs="Calibri Light"/>
                <w:lang w:val="en-US"/>
              </w:rPr>
              <w:t>U</w:t>
            </w:r>
            <w:r w:rsidR="005028FA" w:rsidRPr="002F5570">
              <w:rPr>
                <w:rFonts w:ascii="Calibri Light" w:hAnsi="Calibri Light" w:cs="Calibri Light"/>
                <w:lang w:val="en-US"/>
              </w:rPr>
              <w:t>kupno</w:t>
            </w:r>
            <w:proofErr w:type="spellEnd"/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>140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28FA" w:rsidRPr="002F5570" w:rsidRDefault="005028FA" w:rsidP="000E1C31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28FA" w:rsidRPr="002F5570" w:rsidRDefault="005028FA" w:rsidP="000E1C31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5028FA" w:rsidRPr="002F5570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>Studentske obveze</w:t>
            </w:r>
          </w:p>
        </w:tc>
        <w:tc>
          <w:tcPr>
            <w:tcW w:w="6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2F5570">
              <w:rPr>
                <w:rFonts w:ascii="Calibri Light" w:hAnsi="Calibri Light" w:cs="Calibri Light"/>
                <w:b/>
                <w:bCs/>
              </w:rPr>
              <w:t>Da položi kolegij, student/studentica mora</w:t>
            </w:r>
          </w:p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 xml:space="preserve"> </w:t>
            </w:r>
          </w:p>
          <w:p w:rsidR="005028FA" w:rsidRDefault="005028FA" w:rsidP="000E1C31">
            <w:pPr>
              <w:pStyle w:val="BodyStyle1"/>
              <w:numPr>
                <w:ilvl w:val="0"/>
                <w:numId w:val="6"/>
              </w:numPr>
              <w:tabs>
                <w:tab w:val="clear" w:pos="2080"/>
                <w:tab w:val="left" w:pos="567"/>
                <w:tab w:val="left" w:pos="7026"/>
              </w:tabs>
              <w:spacing w:after="120" w:line="100" w:lineRule="atLeast"/>
              <w:ind w:right="0"/>
              <w:jc w:val="both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proofErr w:type="spellStart"/>
            <w:proofErr w:type="gramStart"/>
            <w:r w:rsidRPr="0019364D">
              <w:rPr>
                <w:rFonts w:ascii="Calibri Light" w:hAnsi="Calibri Light" w:cs="Calibri Light"/>
                <w:sz w:val="22"/>
                <w:szCs w:val="22"/>
              </w:rPr>
              <w:t>prisustvovati</w:t>
            </w:r>
            <w:proofErr w:type="spellEnd"/>
            <w:proofErr w:type="gramEnd"/>
            <w:r w:rsidRPr="0019364D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19364D">
              <w:rPr>
                <w:rFonts w:ascii="Calibri Light" w:hAnsi="Calibri Light" w:cs="Calibri Light"/>
                <w:sz w:val="22"/>
                <w:szCs w:val="22"/>
                <w:u w:val="single"/>
              </w:rPr>
              <w:t>na</w:t>
            </w:r>
            <w:proofErr w:type="spellEnd"/>
            <w:r w:rsidRPr="0019364D">
              <w:rPr>
                <w:rFonts w:ascii="Calibri Light" w:hAnsi="Calibri Light" w:cs="Calibri Light"/>
                <w:sz w:val="22"/>
                <w:szCs w:val="22"/>
                <w:u w:val="single"/>
                <w:lang w:val="hr-HR"/>
              </w:rPr>
              <w:t xml:space="preserve"> </w:t>
            </w:r>
            <w:proofErr w:type="spellStart"/>
            <w:r w:rsidRPr="0019364D">
              <w:rPr>
                <w:rFonts w:ascii="Calibri Light" w:hAnsi="Calibri Light" w:cs="Calibri Light"/>
                <w:sz w:val="22"/>
                <w:szCs w:val="22"/>
                <w:u w:val="single"/>
              </w:rPr>
              <w:t>najmanje</w:t>
            </w:r>
            <w:proofErr w:type="spellEnd"/>
            <w:r w:rsidRPr="0019364D">
              <w:rPr>
                <w:rFonts w:ascii="Calibri Light" w:hAnsi="Calibri Light" w:cs="Calibri Light"/>
                <w:sz w:val="22"/>
                <w:szCs w:val="22"/>
                <w:u w:val="single"/>
                <w:lang w:val="hr-HR"/>
              </w:rPr>
              <w:t xml:space="preserve"> </w:t>
            </w:r>
            <w:r w:rsidRPr="0019364D">
              <w:rPr>
                <w:rFonts w:ascii="Calibri Light" w:hAnsi="Calibri Light" w:cs="Calibri Light"/>
                <w:b/>
                <w:bCs/>
                <w:sz w:val="22"/>
                <w:szCs w:val="22"/>
                <w:u w:val="single"/>
                <w:lang w:val="hr-HR"/>
              </w:rPr>
              <w:t xml:space="preserve">70% </w:t>
            </w:r>
            <w:proofErr w:type="spellStart"/>
            <w:r w:rsidRPr="0019364D">
              <w:rPr>
                <w:rFonts w:ascii="Calibri Light" w:hAnsi="Calibri Light" w:cs="Calibri Light"/>
                <w:b/>
                <w:bCs/>
                <w:sz w:val="22"/>
                <w:szCs w:val="22"/>
                <w:u w:val="single"/>
              </w:rPr>
              <w:t>nastavnih</w:t>
            </w:r>
            <w:proofErr w:type="spellEnd"/>
            <w:r w:rsidRPr="0019364D">
              <w:rPr>
                <w:rFonts w:ascii="Calibri Light" w:hAnsi="Calibri Light" w:cs="Calibri Light"/>
                <w:b/>
                <w:bCs/>
                <w:sz w:val="22"/>
                <w:szCs w:val="22"/>
                <w:u w:val="single"/>
                <w:lang w:val="hr-HR"/>
              </w:rPr>
              <w:t xml:space="preserve"> </w:t>
            </w:r>
            <w:r w:rsidRPr="0019364D">
              <w:rPr>
                <w:rFonts w:ascii="Calibri Light" w:hAnsi="Calibri Light" w:cs="Calibri Light"/>
                <w:b/>
                <w:bCs/>
                <w:sz w:val="22"/>
                <w:szCs w:val="22"/>
                <w:u w:val="single"/>
              </w:rPr>
              <w:t>sati</w:t>
            </w:r>
            <w:r w:rsidRPr="0019364D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19364D">
              <w:rPr>
                <w:rFonts w:ascii="Calibri Light" w:hAnsi="Calibri Light" w:cs="Calibri Light"/>
                <w:sz w:val="22"/>
                <w:szCs w:val="22"/>
              </w:rPr>
              <w:t>za</w:t>
            </w:r>
            <w:proofErr w:type="spellEnd"/>
            <w:r w:rsidRPr="0019364D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19364D">
              <w:rPr>
                <w:rFonts w:ascii="Calibri Light" w:hAnsi="Calibri Light" w:cs="Calibri Light"/>
                <w:sz w:val="22"/>
                <w:szCs w:val="22"/>
              </w:rPr>
              <w:t>nazo</w:t>
            </w:r>
            <w:proofErr w:type="spellEnd"/>
            <w:r w:rsidRPr="0019364D">
              <w:rPr>
                <w:rFonts w:ascii="Calibri Light" w:hAnsi="Calibri Light" w:cs="Calibri Light"/>
                <w:sz w:val="22"/>
                <w:szCs w:val="22"/>
                <w:lang w:val="hr-HR"/>
              </w:rPr>
              <w:t>č</w:t>
            </w:r>
            <w:proofErr w:type="spellStart"/>
            <w:r w:rsidRPr="0019364D">
              <w:rPr>
                <w:rFonts w:ascii="Calibri Light" w:hAnsi="Calibri Light" w:cs="Calibri Light"/>
                <w:sz w:val="22"/>
                <w:szCs w:val="22"/>
              </w:rPr>
              <w:t>nost</w:t>
            </w:r>
            <w:proofErr w:type="spellEnd"/>
            <w:r w:rsidRPr="0019364D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19364D">
              <w:rPr>
                <w:rFonts w:ascii="Calibri Light" w:hAnsi="Calibri Light" w:cs="Calibri Light"/>
                <w:sz w:val="22"/>
                <w:szCs w:val="22"/>
              </w:rPr>
              <w:t>na</w:t>
            </w:r>
            <w:proofErr w:type="spellEnd"/>
            <w:r w:rsidRPr="0019364D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 </w:t>
            </w:r>
            <w:r w:rsidRPr="0019364D">
              <w:rPr>
                <w:rFonts w:ascii="Calibri Light" w:hAnsi="Calibri Light" w:cs="Calibri Light"/>
                <w:sz w:val="22"/>
                <w:szCs w:val="22"/>
              </w:rPr>
              <w:t>vi</w:t>
            </w:r>
            <w:r w:rsidRPr="0019364D">
              <w:rPr>
                <w:rFonts w:ascii="Calibri Light" w:hAnsi="Calibri Light" w:cs="Calibri Light"/>
                <w:sz w:val="22"/>
                <w:szCs w:val="22"/>
                <w:lang w:val="hr-HR"/>
              </w:rPr>
              <w:t>š</w:t>
            </w:r>
            <w:r w:rsidRPr="0019364D">
              <w:rPr>
                <w:rFonts w:ascii="Calibri Light" w:hAnsi="Calibri Light" w:cs="Calibri Light"/>
                <w:sz w:val="22"/>
                <w:szCs w:val="22"/>
              </w:rPr>
              <w:t>e</w:t>
            </w:r>
            <w:r w:rsidRPr="0019364D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 </w:t>
            </w:r>
            <w:r w:rsidRPr="0019364D">
              <w:rPr>
                <w:rFonts w:ascii="Calibri Light" w:hAnsi="Calibri Light" w:cs="Calibri Light"/>
                <w:sz w:val="22"/>
                <w:szCs w:val="22"/>
              </w:rPr>
              <w:t>od</w:t>
            </w:r>
            <w:r w:rsidRPr="0019364D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 70% </w:t>
            </w:r>
            <w:proofErr w:type="spellStart"/>
            <w:r w:rsidRPr="0019364D">
              <w:rPr>
                <w:rFonts w:ascii="Calibri Light" w:hAnsi="Calibri Light" w:cs="Calibri Light"/>
                <w:sz w:val="22"/>
                <w:szCs w:val="22"/>
              </w:rPr>
              <w:t>nastavnih</w:t>
            </w:r>
            <w:proofErr w:type="spellEnd"/>
            <w:r w:rsidRPr="0019364D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 </w:t>
            </w:r>
            <w:r w:rsidRPr="0019364D">
              <w:rPr>
                <w:rFonts w:ascii="Calibri Light" w:hAnsi="Calibri Light" w:cs="Calibri Light"/>
                <w:sz w:val="22"/>
                <w:szCs w:val="22"/>
              </w:rPr>
              <w:t>sati</w:t>
            </w:r>
            <w:r w:rsidRPr="0019364D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19364D">
              <w:rPr>
                <w:rFonts w:ascii="Calibri Light" w:hAnsi="Calibri Light" w:cs="Calibri Light"/>
                <w:sz w:val="22"/>
                <w:szCs w:val="22"/>
              </w:rPr>
              <w:t>stje</w:t>
            </w:r>
            <w:proofErr w:type="spellEnd"/>
            <w:r w:rsidRPr="0019364D">
              <w:rPr>
                <w:rFonts w:ascii="Calibri Light" w:hAnsi="Calibri Light" w:cs="Calibri Light"/>
                <w:sz w:val="22"/>
                <w:szCs w:val="22"/>
                <w:lang w:val="hr-HR"/>
              </w:rPr>
              <w:t>č</w:t>
            </w:r>
            <w:r w:rsidRPr="0019364D">
              <w:rPr>
                <w:rFonts w:ascii="Calibri Light" w:hAnsi="Calibri Light" w:cs="Calibri Light"/>
                <w:sz w:val="22"/>
                <w:szCs w:val="22"/>
              </w:rPr>
              <w:t>e</w:t>
            </w:r>
            <w:r w:rsidRPr="0019364D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19364D">
              <w:rPr>
                <w:rFonts w:ascii="Calibri Light" w:hAnsi="Calibri Light" w:cs="Calibri Light"/>
                <w:sz w:val="22"/>
                <w:szCs w:val="22"/>
              </w:rPr>
              <w:t>pravo</w:t>
            </w:r>
            <w:proofErr w:type="spellEnd"/>
            <w:r w:rsidRPr="0019364D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19364D">
              <w:rPr>
                <w:rFonts w:ascii="Calibri Light" w:hAnsi="Calibri Light" w:cs="Calibri Light"/>
                <w:sz w:val="22"/>
                <w:szCs w:val="22"/>
              </w:rPr>
              <w:t>na</w:t>
            </w:r>
            <w:proofErr w:type="spellEnd"/>
            <w:r w:rsidRPr="0019364D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19364D">
              <w:rPr>
                <w:rFonts w:ascii="Calibri Light" w:hAnsi="Calibri Light" w:cs="Calibri Light"/>
                <w:sz w:val="22"/>
                <w:szCs w:val="22"/>
              </w:rPr>
              <w:t>ostvarivanje</w:t>
            </w:r>
            <w:proofErr w:type="spellEnd"/>
            <w:r w:rsidRPr="0019364D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t>10</w:t>
            </w:r>
            <w:r w:rsidRPr="0019364D">
              <w:rPr>
                <w:rFonts w:ascii="Calibri Light" w:hAnsi="Calibri Light" w:cs="Calibri Light"/>
                <w:sz w:val="22"/>
                <w:szCs w:val="22"/>
                <w:u w:val="single"/>
                <w:lang w:val="hr-HR"/>
              </w:rPr>
              <w:t xml:space="preserve">% </w:t>
            </w:r>
            <w:proofErr w:type="spellStart"/>
            <w:r w:rsidRPr="0019364D">
              <w:rPr>
                <w:rFonts w:ascii="Calibri Light" w:hAnsi="Calibri Light" w:cs="Calibri Light"/>
                <w:sz w:val="22"/>
                <w:szCs w:val="22"/>
                <w:u w:val="single"/>
              </w:rPr>
              <w:t>uspje</w:t>
            </w:r>
            <w:proofErr w:type="spellEnd"/>
            <w:r w:rsidRPr="0019364D">
              <w:rPr>
                <w:rFonts w:ascii="Calibri Light" w:hAnsi="Calibri Light" w:cs="Calibri Light"/>
                <w:sz w:val="22"/>
                <w:szCs w:val="22"/>
                <w:u w:val="single"/>
                <w:lang w:val="hr-HR"/>
              </w:rPr>
              <w:t>š</w:t>
            </w:r>
            <w:proofErr w:type="spellStart"/>
            <w:r w:rsidRPr="0019364D">
              <w:rPr>
                <w:rFonts w:ascii="Calibri Light" w:hAnsi="Calibri Light" w:cs="Calibri Light"/>
                <w:sz w:val="22"/>
                <w:szCs w:val="22"/>
                <w:u w:val="single"/>
              </w:rPr>
              <w:t>nosti</w:t>
            </w:r>
            <w:proofErr w:type="spellEnd"/>
            <w:r w:rsidRPr="0019364D">
              <w:rPr>
                <w:rFonts w:ascii="Calibri Light" w:hAnsi="Calibri Light" w:cs="Calibri Light"/>
                <w:sz w:val="22"/>
                <w:szCs w:val="22"/>
                <w:lang w:val="hr-HR"/>
              </w:rPr>
              <w:t>. Svi studenti moraju biti pripremljeni za svako predavanje i seminare i aktivno sudjelovati na nastavi.</w:t>
            </w:r>
          </w:p>
          <w:p w:rsidR="005028FA" w:rsidRDefault="005028FA" w:rsidP="000E1C31">
            <w:pPr>
              <w:pStyle w:val="BodyStyle1"/>
              <w:numPr>
                <w:ilvl w:val="0"/>
                <w:numId w:val="6"/>
              </w:numPr>
              <w:tabs>
                <w:tab w:val="clear" w:pos="2080"/>
                <w:tab w:val="left" w:pos="567"/>
                <w:tab w:val="left" w:pos="7026"/>
              </w:tabs>
              <w:spacing w:after="120" w:line="100" w:lineRule="atLeast"/>
              <w:ind w:right="0"/>
              <w:jc w:val="both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sudjelovati na </w:t>
            </w:r>
            <w:r w:rsidRPr="000E1C31">
              <w:rPr>
                <w:rFonts w:ascii="Calibri Light" w:hAnsi="Calibri Light" w:cs="Calibri Light"/>
                <w:b/>
                <w:bCs/>
                <w:sz w:val="22"/>
                <w:szCs w:val="22"/>
                <w:lang w:val="hr-HR"/>
              </w:rPr>
              <w:t>terenskoj nastavi</w:t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. Sudjelovanjem na terenskoj nastavi student stječe pravo ostvarivanja </w:t>
            </w:r>
            <w:r w:rsidRPr="000E1C31">
              <w:rPr>
                <w:rFonts w:ascii="Calibri Light" w:hAnsi="Calibri Light" w:cs="Calibri Light"/>
                <w:sz w:val="22"/>
                <w:szCs w:val="22"/>
                <w:u w:val="single"/>
                <w:lang w:val="hr-HR"/>
              </w:rPr>
              <w:t>5% uspješnosti.</w:t>
            </w:r>
          </w:p>
          <w:p w:rsidR="005028FA" w:rsidRDefault="005028FA" w:rsidP="000E1C31">
            <w:pPr>
              <w:pStyle w:val="BodyStyle1"/>
              <w:numPr>
                <w:ilvl w:val="0"/>
                <w:numId w:val="6"/>
              </w:numPr>
              <w:tabs>
                <w:tab w:val="clear" w:pos="2080"/>
                <w:tab w:val="left" w:pos="567"/>
                <w:tab w:val="left" w:pos="7026"/>
              </w:tabs>
              <w:spacing w:after="120" w:line="100" w:lineRule="atLeast"/>
              <w:ind w:right="0"/>
              <w:jc w:val="both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  <w:lang w:val="hr-HR"/>
              </w:rPr>
              <w:t>u</w:t>
            </w:r>
            <w:r w:rsidRPr="000E1C31">
              <w:rPr>
                <w:rFonts w:ascii="Calibri Light" w:hAnsi="Calibri Light" w:cs="Calibri Light"/>
                <w:b/>
                <w:bCs/>
                <w:sz w:val="22"/>
                <w:szCs w:val="22"/>
                <w:lang w:val="hr-HR"/>
              </w:rPr>
              <w:t>spješno pripremiti, napisati i prezentirati projektni zadatak</w:t>
            </w:r>
            <w:r w:rsidRPr="000E1C31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 na unaprijed zadanu temu, a vezano uz terensku nastavu.</w:t>
            </w:r>
            <w:r w:rsidRPr="000E1C31">
              <w:rPr>
                <w:rFonts w:ascii="Calibri Light" w:hAnsi="Calibri Light" w:cs="Calibri Light"/>
                <w:sz w:val="22"/>
                <w:szCs w:val="22"/>
                <w:lang w:val="hr-HR" w:eastAsia="en-US"/>
              </w:rPr>
              <w:t xml:space="preserve"> Projekt se izrađuje u grupi. </w:t>
            </w:r>
            <w:r w:rsidRPr="000E1C31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Ukoliko student uspješno pripremi, napiše i prezentira projekt, stječe pravo na ostvarivanje </w:t>
            </w:r>
            <w:r w:rsidRPr="000E1C31">
              <w:rPr>
                <w:rFonts w:ascii="Calibri Light" w:hAnsi="Calibri Light" w:cs="Calibri Light"/>
                <w:sz w:val="22"/>
                <w:szCs w:val="22"/>
                <w:u w:val="single"/>
                <w:lang w:val="hr-HR"/>
              </w:rPr>
              <w:t>35% uspješnosti.</w:t>
            </w:r>
          </w:p>
          <w:p w:rsidR="005028FA" w:rsidRPr="000E1C31" w:rsidRDefault="005028FA" w:rsidP="000E1C31">
            <w:pPr>
              <w:pStyle w:val="BodyStyle1"/>
              <w:numPr>
                <w:ilvl w:val="0"/>
                <w:numId w:val="6"/>
              </w:numPr>
              <w:tabs>
                <w:tab w:val="clear" w:pos="2080"/>
                <w:tab w:val="left" w:pos="567"/>
                <w:tab w:val="left" w:pos="7026"/>
              </w:tabs>
              <w:spacing w:after="120" w:line="100" w:lineRule="atLeast"/>
              <w:ind w:right="0"/>
              <w:jc w:val="both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0E1C31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pristupiti i položiti </w:t>
            </w:r>
            <w:r w:rsidRPr="000E1C31">
              <w:rPr>
                <w:rFonts w:ascii="Calibri Light" w:hAnsi="Calibri Light" w:cs="Calibri Light"/>
                <w:b/>
                <w:bCs/>
                <w:sz w:val="22"/>
                <w:szCs w:val="22"/>
                <w:lang w:val="hr-HR"/>
              </w:rPr>
              <w:t>završnom ispit (pismeni)</w:t>
            </w:r>
            <w:r w:rsidRPr="000E1C31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. Završnom se ispitu može pristupiti </w:t>
            </w:r>
            <w:r w:rsidRPr="000E1C31">
              <w:rPr>
                <w:rFonts w:ascii="Calibri Light" w:hAnsi="Calibri Light" w:cs="Calibri Light"/>
                <w:sz w:val="22"/>
                <w:szCs w:val="22"/>
                <w:u w:val="single"/>
                <w:lang w:val="hr-HR"/>
              </w:rPr>
              <w:t>maksimalno 4 puta.</w:t>
            </w:r>
            <w:r w:rsidRPr="000E1C31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  Ako student na završnom ispitu ne ostvari najmanje </w:t>
            </w:r>
            <w:r w:rsidRPr="000E1C31">
              <w:rPr>
                <w:rFonts w:ascii="Calibri Light" w:hAnsi="Calibri Light" w:cs="Calibri Light"/>
                <w:sz w:val="22"/>
                <w:szCs w:val="22"/>
                <w:u w:val="single"/>
                <w:lang w:val="hr-HR"/>
              </w:rPr>
              <w:t>50% uspješnosti</w:t>
            </w:r>
            <w:r w:rsidRPr="000E1C31">
              <w:rPr>
                <w:rFonts w:ascii="Calibri Light" w:hAnsi="Calibri Light" w:cs="Calibri Light"/>
                <w:sz w:val="22"/>
                <w:szCs w:val="22"/>
                <w:lang w:val="hr-HR"/>
              </w:rPr>
              <w:t>, ne može steći pravo na upis bodovne vrijednosti ECTS, ocjenjuje se ocjenom nedovoljan</w:t>
            </w:r>
            <w:r w:rsidRPr="000E1C31">
              <w:rPr>
                <w:rFonts w:ascii="Calibri Light" w:hAnsi="Calibri Light" w:cs="Calibri Light"/>
                <w:b/>
                <w:bCs/>
                <w:sz w:val="22"/>
                <w:szCs w:val="22"/>
                <w:lang w:val="hr-HR"/>
              </w:rPr>
              <w:t xml:space="preserve"> (</w:t>
            </w:r>
            <w:r w:rsidRPr="000E1C31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F) te ponovno upisuje predmet. (4 puta je </w:t>
            </w:r>
            <w:proofErr w:type="spellStart"/>
            <w:r w:rsidRPr="000E1C31">
              <w:rPr>
                <w:rFonts w:ascii="Calibri Light" w:hAnsi="Calibri Light" w:cs="Calibri Light"/>
                <w:sz w:val="22"/>
                <w:szCs w:val="22"/>
                <w:lang w:val="hr-HR"/>
              </w:rPr>
              <w:t>max</w:t>
            </w:r>
            <w:proofErr w:type="spellEnd"/>
            <w:r w:rsidRPr="000E1C31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. broj mogućnosti pristupanja završnom ispitu). </w:t>
            </w:r>
            <w:proofErr w:type="spellStart"/>
            <w:r w:rsidRPr="000E1C31">
              <w:rPr>
                <w:rFonts w:ascii="Calibri Light" w:hAnsi="Calibri Light" w:cs="Calibri Light"/>
                <w:sz w:val="22"/>
                <w:szCs w:val="22"/>
              </w:rPr>
              <w:t>Izlazak</w:t>
            </w:r>
            <w:proofErr w:type="spellEnd"/>
            <w:r w:rsidRPr="000E1C31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 </w:t>
            </w:r>
            <w:proofErr w:type="spellStart"/>
            <w:proofErr w:type="gramStart"/>
            <w:r w:rsidRPr="000E1C31">
              <w:rPr>
                <w:rFonts w:ascii="Calibri Light" w:hAnsi="Calibri Light" w:cs="Calibri Light"/>
                <w:sz w:val="22"/>
                <w:szCs w:val="22"/>
              </w:rPr>
              <w:t>na</w:t>
            </w:r>
            <w:proofErr w:type="spellEnd"/>
            <w:proofErr w:type="gramEnd"/>
            <w:r w:rsidRPr="000E1C31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E1C31">
              <w:rPr>
                <w:rFonts w:ascii="Calibri Light" w:hAnsi="Calibri Light" w:cs="Calibri Light"/>
                <w:sz w:val="22"/>
                <w:szCs w:val="22"/>
              </w:rPr>
              <w:t>zavr</w:t>
            </w:r>
            <w:proofErr w:type="spellEnd"/>
            <w:r w:rsidRPr="000E1C31">
              <w:rPr>
                <w:rFonts w:ascii="Calibri Light" w:hAnsi="Calibri Light" w:cs="Calibri Light"/>
                <w:sz w:val="22"/>
                <w:szCs w:val="22"/>
                <w:lang w:val="hr-HR"/>
              </w:rPr>
              <w:t>š</w:t>
            </w:r>
            <w:proofErr w:type="spellStart"/>
            <w:r w:rsidRPr="000E1C31">
              <w:rPr>
                <w:rFonts w:ascii="Calibri Light" w:hAnsi="Calibri Light" w:cs="Calibri Light"/>
                <w:sz w:val="22"/>
                <w:szCs w:val="22"/>
              </w:rPr>
              <w:t>ni</w:t>
            </w:r>
            <w:proofErr w:type="spellEnd"/>
            <w:r w:rsidRPr="000E1C31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E1C31">
              <w:rPr>
                <w:rFonts w:ascii="Calibri Light" w:hAnsi="Calibri Light" w:cs="Calibri Light"/>
                <w:sz w:val="22"/>
                <w:szCs w:val="22"/>
              </w:rPr>
              <w:t>ispit</w:t>
            </w:r>
            <w:proofErr w:type="spellEnd"/>
            <w:r w:rsidRPr="000E1C31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 </w:t>
            </w:r>
            <w:r w:rsidRPr="000E1C31">
              <w:rPr>
                <w:rFonts w:ascii="Calibri Light" w:hAnsi="Calibri Light" w:cs="Calibri Light"/>
                <w:sz w:val="22"/>
                <w:szCs w:val="22"/>
              </w:rPr>
              <w:t>student</w:t>
            </w:r>
            <w:r w:rsidRPr="000E1C31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 </w:t>
            </w:r>
            <w:r w:rsidRPr="000E1C31">
              <w:rPr>
                <w:rFonts w:ascii="Calibri Light" w:hAnsi="Calibri Light" w:cs="Calibri Light"/>
                <w:sz w:val="22"/>
                <w:szCs w:val="22"/>
              </w:rPr>
              <w:t>je</w:t>
            </w:r>
            <w:r w:rsidRPr="000E1C31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E1C31">
              <w:rPr>
                <w:rFonts w:ascii="Calibri Light" w:hAnsi="Calibri Light" w:cs="Calibri Light"/>
                <w:sz w:val="22"/>
                <w:szCs w:val="22"/>
              </w:rPr>
              <w:t>obavezan</w:t>
            </w:r>
            <w:proofErr w:type="spellEnd"/>
            <w:r w:rsidRPr="000E1C31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E1C31">
              <w:rPr>
                <w:rFonts w:ascii="Calibri Light" w:hAnsi="Calibri Light" w:cs="Calibri Light"/>
                <w:sz w:val="22"/>
                <w:szCs w:val="22"/>
              </w:rPr>
              <w:t>prijaviti</w:t>
            </w:r>
            <w:proofErr w:type="spellEnd"/>
            <w:r w:rsidRPr="000E1C31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E1C31">
              <w:rPr>
                <w:rFonts w:ascii="Calibri Light" w:hAnsi="Calibri Light" w:cs="Calibri Light"/>
                <w:sz w:val="22"/>
                <w:szCs w:val="22"/>
              </w:rPr>
              <w:t>putem</w:t>
            </w:r>
            <w:proofErr w:type="spellEnd"/>
            <w:r w:rsidRPr="000E1C31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E1C31">
              <w:rPr>
                <w:rFonts w:ascii="Calibri Light" w:hAnsi="Calibri Light" w:cs="Calibri Light"/>
                <w:sz w:val="22"/>
                <w:szCs w:val="22"/>
              </w:rPr>
              <w:t>Studomata</w:t>
            </w:r>
            <w:proofErr w:type="spellEnd"/>
            <w:r w:rsidRPr="000E1C31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. Ukoliko student uspješno položi završni ispit, stječe pravo na ostvarivanje </w:t>
            </w:r>
            <w:r>
              <w:rPr>
                <w:rFonts w:ascii="Calibri Light" w:hAnsi="Calibri Light" w:cs="Calibri Light"/>
                <w:sz w:val="22"/>
                <w:szCs w:val="22"/>
                <w:u w:val="single"/>
                <w:lang w:val="hr-HR"/>
              </w:rPr>
              <w:t>5</w:t>
            </w:r>
            <w:r w:rsidRPr="000E1C31">
              <w:rPr>
                <w:rFonts w:ascii="Calibri Light" w:hAnsi="Calibri Light" w:cs="Calibri Light"/>
                <w:sz w:val="22"/>
                <w:szCs w:val="22"/>
                <w:u w:val="single"/>
                <w:lang w:val="hr-HR"/>
              </w:rPr>
              <w:t>0% uspješnosti</w:t>
            </w:r>
            <w:r w:rsidRPr="000E1C31">
              <w:rPr>
                <w:rFonts w:ascii="Calibri Light" w:hAnsi="Calibri Light" w:cs="Calibri Light"/>
                <w:sz w:val="22"/>
                <w:szCs w:val="22"/>
                <w:lang w:val="hr-HR"/>
              </w:rPr>
              <w:t>.</w:t>
            </w:r>
          </w:p>
          <w:p w:rsidR="005028FA" w:rsidRPr="0019364D" w:rsidRDefault="005028FA" w:rsidP="0019364D">
            <w:pPr>
              <w:pStyle w:val="BodyStyle1"/>
              <w:tabs>
                <w:tab w:val="clear" w:pos="2080"/>
                <w:tab w:val="left" w:pos="567"/>
                <w:tab w:val="left" w:pos="7026"/>
              </w:tabs>
              <w:spacing w:line="100" w:lineRule="atLeast"/>
              <w:ind w:left="0" w:right="0"/>
              <w:jc w:val="both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</w:p>
          <w:p w:rsidR="005028FA" w:rsidRPr="0019364D" w:rsidRDefault="005028FA" w:rsidP="0019364D">
            <w:pPr>
              <w:pStyle w:val="BodyStyle1"/>
              <w:tabs>
                <w:tab w:val="clear" w:pos="2080"/>
                <w:tab w:val="left" w:pos="567"/>
                <w:tab w:val="left" w:pos="7026"/>
              </w:tabs>
              <w:spacing w:after="120" w:line="100" w:lineRule="atLeast"/>
              <w:ind w:left="0" w:right="0"/>
              <w:jc w:val="both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19364D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Po završetku semestra, ispunjenih obveza studenta, završenih kolokvija, ocjenjuje se </w:t>
            </w:r>
            <w:r w:rsidRPr="0019364D">
              <w:rPr>
                <w:rFonts w:ascii="Calibri Light" w:hAnsi="Calibri Light" w:cs="Calibri Light"/>
                <w:b/>
                <w:bCs/>
                <w:sz w:val="22"/>
                <w:szCs w:val="22"/>
                <w:lang w:val="hr-HR"/>
              </w:rPr>
              <w:t>ukupna uspješnost studenta tijekom nastave</w:t>
            </w:r>
            <w:r w:rsidRPr="0019364D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, a prema Europskom sustavu prijenosa bodova. </w:t>
            </w:r>
          </w:p>
          <w:p w:rsidR="005028FA" w:rsidRPr="0019364D" w:rsidRDefault="005028FA" w:rsidP="0019364D">
            <w:pPr>
              <w:pStyle w:val="BodyStyle1"/>
              <w:tabs>
                <w:tab w:val="left" w:pos="10620"/>
              </w:tabs>
              <w:spacing w:line="240" w:lineRule="atLeast"/>
              <w:ind w:left="0" w:right="0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19364D"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begin"/>
            </w:r>
            <w:r w:rsidRPr="0019364D">
              <w:rPr>
                <w:rFonts w:ascii="Calibri Light" w:hAnsi="Calibri Light" w:cs="Calibri Light"/>
                <w:sz w:val="22"/>
                <w:szCs w:val="22"/>
                <w:lang w:val="hr-HR"/>
              </w:rPr>
              <w:instrText>FILLIN "ocjena"</w:instrText>
            </w:r>
            <w:r w:rsidRPr="0019364D"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separate"/>
            </w:r>
            <w:r w:rsidRPr="0019364D">
              <w:rPr>
                <w:rFonts w:ascii="Calibri Light" w:hAnsi="Calibri Light" w:cs="Calibri Light"/>
                <w:sz w:val="22"/>
                <w:szCs w:val="22"/>
                <w:lang w:val="hr-HR"/>
              </w:rPr>
              <w:t>Konačna se ocjena studenta utvrđuje prema slijedećoj Formuli</w:t>
            </w:r>
            <w:r w:rsidRPr="0019364D"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end"/>
            </w:r>
            <w:r w:rsidRPr="0019364D">
              <w:rPr>
                <w:rFonts w:ascii="Calibri Light" w:hAnsi="Calibri Light" w:cs="Calibri Light"/>
                <w:sz w:val="22"/>
                <w:szCs w:val="22"/>
                <w:lang w:val="hr-HR"/>
              </w:rPr>
              <w:t>:</w:t>
            </w:r>
          </w:p>
          <w:p w:rsidR="005028FA" w:rsidRPr="0019364D" w:rsidRDefault="005028FA" w:rsidP="0019364D">
            <w:pPr>
              <w:pStyle w:val="BodyStyle1"/>
              <w:tabs>
                <w:tab w:val="left" w:pos="10620"/>
              </w:tabs>
              <w:spacing w:line="240" w:lineRule="atLeast"/>
              <w:ind w:left="0" w:right="0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</w:p>
          <w:p w:rsidR="005028FA" w:rsidRPr="0019364D" w:rsidRDefault="005028FA" w:rsidP="0019364D">
            <w:pPr>
              <w:pStyle w:val="BodyStyle1"/>
              <w:tabs>
                <w:tab w:val="left" w:pos="10620"/>
              </w:tabs>
              <w:spacing w:line="240" w:lineRule="atLeast"/>
              <w:ind w:left="0" w:right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  <w:lang w:val="hr-HR"/>
              </w:rPr>
              <w:t xml:space="preserve">OCJENA = 50% x FI + 5% x T </w:t>
            </w:r>
            <w:r w:rsidRPr="0019364D">
              <w:rPr>
                <w:rFonts w:ascii="Calibri Light" w:hAnsi="Calibri Light" w:cs="Calibri Light"/>
                <w:b/>
                <w:bCs/>
                <w:sz w:val="22"/>
                <w:szCs w:val="22"/>
                <w:lang w:val="hr-HR"/>
              </w:rPr>
              <w:t xml:space="preserve">+ 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  <w:lang w:val="hr-HR"/>
              </w:rPr>
              <w:t>35%x P + 10</w:t>
            </w:r>
            <w:r w:rsidRPr="0019364D">
              <w:rPr>
                <w:rFonts w:ascii="Calibri Light" w:hAnsi="Calibri Light" w:cs="Calibri Light"/>
                <w:b/>
                <w:bCs/>
                <w:sz w:val="22"/>
                <w:szCs w:val="22"/>
                <w:lang w:val="hr-HR"/>
              </w:rPr>
              <w:t xml:space="preserve">% x N </w:t>
            </w:r>
          </w:p>
          <w:p w:rsidR="005028FA" w:rsidRPr="0019364D" w:rsidRDefault="005028FA" w:rsidP="0019364D">
            <w:pPr>
              <w:pStyle w:val="BodyStyle1"/>
              <w:tabs>
                <w:tab w:val="left" w:pos="10620"/>
              </w:tabs>
              <w:spacing w:line="240" w:lineRule="atLeast"/>
              <w:ind w:left="0" w:right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  <w:lang w:val="hr-HR"/>
              </w:rPr>
            </w:pPr>
          </w:p>
          <w:p w:rsidR="005028FA" w:rsidRPr="0019364D" w:rsidRDefault="005028FA" w:rsidP="0019364D">
            <w:pPr>
              <w:pStyle w:val="BodyStyle1"/>
              <w:tabs>
                <w:tab w:val="left" w:pos="10620"/>
              </w:tabs>
              <w:spacing w:line="240" w:lineRule="atLeast"/>
              <w:ind w:left="0" w:right="0"/>
              <w:jc w:val="both"/>
              <w:rPr>
                <w:rFonts w:ascii="Calibri Light" w:hAnsi="Calibri Light" w:cs="Calibri Light"/>
                <w:sz w:val="22"/>
                <w:szCs w:val="22"/>
                <w:u w:val="single"/>
                <w:lang w:val="hr-HR"/>
              </w:rPr>
            </w:pPr>
            <w:r w:rsidRPr="0019364D">
              <w:rPr>
                <w:rFonts w:ascii="Calibri Light" w:hAnsi="Calibri Light" w:cs="Calibri Light"/>
                <w:sz w:val="22"/>
                <w:szCs w:val="22"/>
                <w:u w:val="single"/>
                <w:lang w:val="hr-HR"/>
              </w:rPr>
              <w:t>gdje je:</w:t>
            </w:r>
          </w:p>
          <w:p w:rsidR="005028FA" w:rsidRPr="0019364D" w:rsidRDefault="005028FA" w:rsidP="0019364D">
            <w:pPr>
              <w:pStyle w:val="BodyStyle1"/>
              <w:tabs>
                <w:tab w:val="left" w:pos="10620"/>
              </w:tabs>
              <w:spacing w:line="240" w:lineRule="atLeast"/>
              <w:ind w:left="0" w:right="0"/>
              <w:jc w:val="both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</w:p>
          <w:p w:rsidR="005028FA" w:rsidRDefault="005028FA" w:rsidP="0019364D">
            <w:pPr>
              <w:pStyle w:val="BodyStyle1"/>
              <w:numPr>
                <w:ilvl w:val="0"/>
                <w:numId w:val="4"/>
              </w:numPr>
              <w:tabs>
                <w:tab w:val="left" w:pos="10620"/>
              </w:tabs>
              <w:spacing w:line="240" w:lineRule="auto"/>
              <w:ind w:left="714" w:right="0" w:hanging="357"/>
              <w:jc w:val="both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19364D">
              <w:rPr>
                <w:rFonts w:ascii="Calibri Light" w:hAnsi="Calibri Light" w:cs="Calibri Light"/>
                <w:sz w:val="22"/>
                <w:szCs w:val="22"/>
                <w:lang w:val="hr-HR"/>
              </w:rPr>
              <w:t>FI = postignuti bodovi na završnom ispitu,</w:t>
            </w:r>
          </w:p>
          <w:p w:rsidR="005028FA" w:rsidRPr="0019364D" w:rsidRDefault="005028FA" w:rsidP="0019364D">
            <w:pPr>
              <w:pStyle w:val="BodyStyle1"/>
              <w:numPr>
                <w:ilvl w:val="0"/>
                <w:numId w:val="4"/>
              </w:numPr>
              <w:tabs>
                <w:tab w:val="left" w:pos="10620"/>
              </w:tabs>
              <w:spacing w:line="240" w:lineRule="auto"/>
              <w:ind w:left="714" w:right="0" w:hanging="357"/>
              <w:jc w:val="both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lastRenderedPageBreak/>
              <w:t>T = terenska nastava</w:t>
            </w:r>
          </w:p>
          <w:p w:rsidR="005028FA" w:rsidRPr="0019364D" w:rsidRDefault="005028FA" w:rsidP="0019364D">
            <w:pPr>
              <w:pStyle w:val="BodyStyle1"/>
              <w:numPr>
                <w:ilvl w:val="0"/>
                <w:numId w:val="4"/>
              </w:numPr>
              <w:tabs>
                <w:tab w:val="left" w:pos="10620"/>
              </w:tabs>
              <w:spacing w:line="240" w:lineRule="auto"/>
              <w:ind w:left="714" w:right="0" w:hanging="357"/>
              <w:jc w:val="both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t>P = izrađen i prezentiran projektni zadatak</w:t>
            </w:r>
          </w:p>
          <w:p w:rsidR="005028FA" w:rsidRPr="0019364D" w:rsidRDefault="005028FA" w:rsidP="0019364D">
            <w:pPr>
              <w:pStyle w:val="BodyStyle1"/>
              <w:numPr>
                <w:ilvl w:val="0"/>
                <w:numId w:val="4"/>
              </w:numPr>
              <w:tabs>
                <w:tab w:val="left" w:pos="10620"/>
              </w:tabs>
              <w:spacing w:line="240" w:lineRule="auto"/>
              <w:ind w:left="714" w:right="0" w:hanging="357"/>
              <w:jc w:val="both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19364D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N = prisutnost na nastavi </w:t>
            </w:r>
          </w:p>
          <w:p w:rsidR="005028FA" w:rsidRPr="0019364D" w:rsidRDefault="005028FA" w:rsidP="0019364D">
            <w:pPr>
              <w:pStyle w:val="BodyStyle1"/>
              <w:tabs>
                <w:tab w:val="clear" w:pos="2080"/>
                <w:tab w:val="clear" w:pos="2800"/>
                <w:tab w:val="clear" w:pos="3520"/>
                <w:tab w:val="clear" w:pos="4240"/>
                <w:tab w:val="clear" w:pos="8560"/>
                <w:tab w:val="left" w:pos="720"/>
                <w:tab w:val="left" w:pos="1440"/>
              </w:tabs>
              <w:spacing w:line="360" w:lineRule="auto"/>
              <w:ind w:left="0" w:right="0"/>
              <w:jc w:val="both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tab/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tab/>
              <w:t xml:space="preserve">        </w:t>
            </w:r>
          </w:p>
          <w:p w:rsidR="005028FA" w:rsidRPr="002F5570" w:rsidRDefault="005028FA" w:rsidP="0019364D">
            <w:pPr>
              <w:shd w:val="clear" w:color="auto" w:fill="E6E6E6"/>
              <w:spacing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 xml:space="preserve"> Konačna se ocjena dobiva na sljedeći način:</w:t>
            </w:r>
          </w:p>
          <w:p w:rsidR="005028FA" w:rsidRPr="002F5570" w:rsidRDefault="005028FA" w:rsidP="0019364D">
            <w:pPr>
              <w:pStyle w:val="ListParagraph"/>
              <w:numPr>
                <w:ilvl w:val="0"/>
                <w:numId w:val="3"/>
              </w:numPr>
              <w:shd w:val="clear" w:color="auto" w:fill="E6E6E6"/>
              <w:spacing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 xml:space="preserve">A = 90 </w:t>
            </w:r>
            <w:r w:rsidRPr="002F5570">
              <w:sym w:font="Symbol" w:char="F02D"/>
            </w:r>
            <w:r w:rsidRPr="002F5570">
              <w:rPr>
                <w:rFonts w:ascii="Calibri Light" w:hAnsi="Calibri Light" w:cs="Calibri Light"/>
              </w:rPr>
              <w:t xml:space="preserve"> 100% </w:t>
            </w:r>
            <w:r w:rsidRPr="002F5570">
              <w:rPr>
                <w:rFonts w:ascii="Calibri Light" w:hAnsi="Calibri Light" w:cs="Calibri Light"/>
              </w:rPr>
              <w:tab/>
            </w:r>
            <w:r w:rsidRPr="002F5570">
              <w:rPr>
                <w:rFonts w:ascii="Calibri Light" w:hAnsi="Calibri Light" w:cs="Calibri Light"/>
              </w:rPr>
              <w:tab/>
            </w:r>
            <w:r w:rsidRPr="002F5570">
              <w:rPr>
                <w:rFonts w:ascii="Calibri Light" w:hAnsi="Calibri Light" w:cs="Calibri Light"/>
              </w:rPr>
              <w:tab/>
              <w:t xml:space="preserve">5 (izvrstan) </w:t>
            </w:r>
            <w:r w:rsidRPr="002F5570">
              <w:rPr>
                <w:rFonts w:ascii="Calibri Light" w:hAnsi="Calibri Light" w:cs="Calibri Light"/>
              </w:rPr>
              <w:tab/>
              <w:t xml:space="preserve">= 89 </w:t>
            </w:r>
            <w:r w:rsidRPr="002F5570">
              <w:sym w:font="Symbol" w:char="F02D"/>
            </w:r>
            <w:r w:rsidRPr="002F5570">
              <w:rPr>
                <w:rFonts w:ascii="Calibri Light" w:hAnsi="Calibri Light" w:cs="Calibri Light"/>
              </w:rPr>
              <w:t xml:space="preserve"> 100% ocjene</w:t>
            </w:r>
          </w:p>
          <w:p w:rsidR="005028FA" w:rsidRPr="002F5570" w:rsidRDefault="005028FA" w:rsidP="0019364D">
            <w:pPr>
              <w:pStyle w:val="ListParagraph"/>
              <w:numPr>
                <w:ilvl w:val="0"/>
                <w:numId w:val="3"/>
              </w:numPr>
              <w:shd w:val="clear" w:color="auto" w:fill="E6E6E6"/>
              <w:spacing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 xml:space="preserve">B = 80 </w:t>
            </w:r>
            <w:r w:rsidRPr="002F5570">
              <w:sym w:font="Symbol" w:char="F02D"/>
            </w:r>
            <w:r w:rsidRPr="002F5570">
              <w:rPr>
                <w:rFonts w:ascii="Calibri Light" w:hAnsi="Calibri Light" w:cs="Calibri Light"/>
              </w:rPr>
              <w:t xml:space="preserve"> 88,9%</w:t>
            </w:r>
            <w:r w:rsidRPr="002F5570">
              <w:rPr>
                <w:rFonts w:ascii="Calibri Light" w:hAnsi="Calibri Light" w:cs="Calibri Light"/>
              </w:rPr>
              <w:tab/>
            </w:r>
            <w:r w:rsidRPr="002F5570">
              <w:rPr>
                <w:rFonts w:ascii="Calibri Light" w:hAnsi="Calibri Light" w:cs="Calibri Light"/>
              </w:rPr>
              <w:tab/>
            </w:r>
            <w:r w:rsidRPr="002F5570">
              <w:rPr>
                <w:rFonts w:ascii="Calibri Light" w:hAnsi="Calibri Light" w:cs="Calibri Light"/>
              </w:rPr>
              <w:tab/>
              <w:t xml:space="preserve">4 (vrlo dobar) </w:t>
            </w:r>
            <w:r w:rsidRPr="002F5570">
              <w:rPr>
                <w:rFonts w:ascii="Calibri Light" w:hAnsi="Calibri Light" w:cs="Calibri Light"/>
              </w:rPr>
              <w:tab/>
              <w:t xml:space="preserve">= 76 </w:t>
            </w:r>
            <w:r w:rsidRPr="002F5570">
              <w:sym w:font="Symbol" w:char="F02D"/>
            </w:r>
            <w:r w:rsidRPr="002F5570">
              <w:rPr>
                <w:rFonts w:ascii="Calibri Light" w:hAnsi="Calibri Light" w:cs="Calibri Light"/>
              </w:rPr>
              <w:t xml:space="preserve"> 88,9% ocjene</w:t>
            </w:r>
          </w:p>
          <w:p w:rsidR="005028FA" w:rsidRPr="002F5570" w:rsidRDefault="005028FA" w:rsidP="0019364D">
            <w:pPr>
              <w:pStyle w:val="ListParagraph"/>
              <w:numPr>
                <w:ilvl w:val="0"/>
                <w:numId w:val="3"/>
              </w:numPr>
              <w:shd w:val="clear" w:color="auto" w:fill="E6E6E6"/>
              <w:spacing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 xml:space="preserve">C = 70 </w:t>
            </w:r>
            <w:r w:rsidRPr="002F5570">
              <w:sym w:font="Symbol" w:char="F02D"/>
            </w:r>
            <w:r w:rsidRPr="002F5570">
              <w:rPr>
                <w:rFonts w:ascii="Calibri Light" w:hAnsi="Calibri Light" w:cs="Calibri Light"/>
              </w:rPr>
              <w:t xml:space="preserve"> 79,9%</w:t>
            </w:r>
            <w:r w:rsidRPr="002F5570">
              <w:rPr>
                <w:rFonts w:ascii="Calibri Light" w:hAnsi="Calibri Light" w:cs="Calibri Light"/>
              </w:rPr>
              <w:tab/>
            </w:r>
            <w:r w:rsidRPr="002F5570">
              <w:rPr>
                <w:rFonts w:ascii="Calibri Light" w:hAnsi="Calibri Light" w:cs="Calibri Light"/>
              </w:rPr>
              <w:tab/>
            </w:r>
            <w:r w:rsidRPr="002F5570">
              <w:rPr>
                <w:rFonts w:ascii="Calibri Light" w:hAnsi="Calibri Light" w:cs="Calibri Light"/>
              </w:rPr>
              <w:tab/>
              <w:t xml:space="preserve">3 (dobar) </w:t>
            </w:r>
            <w:r w:rsidRPr="002F5570">
              <w:rPr>
                <w:rFonts w:ascii="Calibri Light" w:hAnsi="Calibri Light" w:cs="Calibri Light"/>
              </w:rPr>
              <w:tab/>
              <w:t xml:space="preserve">= 63 </w:t>
            </w:r>
            <w:r w:rsidRPr="002F5570">
              <w:sym w:font="Symbol" w:char="F02D"/>
            </w:r>
            <w:r w:rsidRPr="002F5570">
              <w:rPr>
                <w:rFonts w:ascii="Calibri Light" w:hAnsi="Calibri Light" w:cs="Calibri Light"/>
              </w:rPr>
              <w:t xml:space="preserve"> 75,9% ocjene</w:t>
            </w:r>
          </w:p>
          <w:p w:rsidR="005028FA" w:rsidRPr="002F5570" w:rsidRDefault="005028FA" w:rsidP="0019364D">
            <w:pPr>
              <w:pStyle w:val="ListParagraph"/>
              <w:numPr>
                <w:ilvl w:val="0"/>
                <w:numId w:val="3"/>
              </w:numPr>
              <w:shd w:val="clear" w:color="auto" w:fill="E6E6E6"/>
              <w:spacing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 xml:space="preserve">D = 60 </w:t>
            </w:r>
            <w:r w:rsidRPr="002F5570">
              <w:sym w:font="Symbol" w:char="F02D"/>
            </w:r>
            <w:r w:rsidRPr="002F5570">
              <w:rPr>
                <w:rFonts w:ascii="Calibri Light" w:hAnsi="Calibri Light" w:cs="Calibri Light"/>
              </w:rPr>
              <w:t xml:space="preserve"> 69,9%</w:t>
            </w:r>
            <w:r w:rsidRPr="002F5570">
              <w:rPr>
                <w:rFonts w:ascii="Calibri Light" w:hAnsi="Calibri Light" w:cs="Calibri Light"/>
              </w:rPr>
              <w:tab/>
            </w:r>
            <w:r w:rsidRPr="002F5570">
              <w:rPr>
                <w:rFonts w:ascii="Calibri Light" w:hAnsi="Calibri Light" w:cs="Calibri Light"/>
              </w:rPr>
              <w:tab/>
            </w:r>
            <w:r w:rsidRPr="002F5570">
              <w:rPr>
                <w:rFonts w:ascii="Calibri Light" w:hAnsi="Calibri Light" w:cs="Calibri Light"/>
              </w:rPr>
              <w:tab/>
              <w:t>2 (dovoljan)</w:t>
            </w:r>
            <w:r w:rsidRPr="002F5570">
              <w:rPr>
                <w:rFonts w:ascii="Calibri Light" w:hAnsi="Calibri Light" w:cs="Calibri Light"/>
              </w:rPr>
              <w:tab/>
              <w:t xml:space="preserve">= 50 </w:t>
            </w:r>
            <w:r w:rsidRPr="002F5570">
              <w:sym w:font="Symbol" w:char="F02D"/>
            </w:r>
            <w:r w:rsidRPr="002F5570">
              <w:rPr>
                <w:rFonts w:ascii="Calibri Light" w:hAnsi="Calibri Light" w:cs="Calibri Light"/>
              </w:rPr>
              <w:t xml:space="preserve"> 62,9% ocjene </w:t>
            </w:r>
          </w:p>
          <w:p w:rsidR="005028FA" w:rsidRPr="002F5570" w:rsidRDefault="005028FA" w:rsidP="00087637">
            <w:pPr>
              <w:pStyle w:val="ListParagraph"/>
              <w:numPr>
                <w:ilvl w:val="0"/>
                <w:numId w:val="3"/>
              </w:numPr>
              <w:shd w:val="clear" w:color="auto" w:fill="E6E6E6"/>
              <w:spacing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 xml:space="preserve">E = 50 </w:t>
            </w:r>
            <w:r w:rsidRPr="002F5570">
              <w:sym w:font="Symbol" w:char="F02D"/>
            </w:r>
            <w:r w:rsidRPr="002F5570">
              <w:rPr>
                <w:rFonts w:ascii="Calibri Light" w:hAnsi="Calibri Light" w:cs="Calibri Light"/>
              </w:rPr>
              <w:t xml:space="preserve"> 59,9%                                </w:t>
            </w:r>
          </w:p>
        </w:tc>
      </w:tr>
      <w:tr w:rsidR="005028FA" w:rsidRPr="002F5570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 w:rsidRPr="002F5570">
              <w:rPr>
                <w:rFonts w:ascii="Calibri Light" w:hAnsi="Calibri Light" w:cs="Calibri Light"/>
                <w:lang w:val="en-US"/>
              </w:rPr>
              <w:lastRenderedPageBreak/>
              <w:t>Rokovi</w:t>
            </w:r>
            <w:proofErr w:type="spellEnd"/>
            <w:r w:rsidRPr="002F5570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2F5570">
              <w:rPr>
                <w:rFonts w:ascii="Calibri Light" w:hAnsi="Calibri Light" w:cs="Calibri Light"/>
                <w:lang w:val="en-US"/>
              </w:rPr>
              <w:t>ispita</w:t>
            </w:r>
            <w:proofErr w:type="spellEnd"/>
            <w:r w:rsidRPr="002F5570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2F5570">
              <w:rPr>
                <w:rFonts w:ascii="Calibri Light" w:hAnsi="Calibri Light" w:cs="Calibri Light"/>
                <w:lang w:val="en-US"/>
              </w:rPr>
              <w:t>i</w:t>
            </w:r>
            <w:proofErr w:type="spellEnd"/>
            <w:r w:rsidRPr="002F5570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2F5570">
              <w:rPr>
                <w:rFonts w:ascii="Calibri Light" w:hAnsi="Calibri Light" w:cs="Calibri Light"/>
                <w:lang w:val="en-US"/>
              </w:rPr>
              <w:t>kolokvija</w:t>
            </w:r>
            <w:proofErr w:type="spellEnd"/>
          </w:p>
        </w:tc>
        <w:tc>
          <w:tcPr>
            <w:tcW w:w="6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>Objavljuju se na mrežnim stranicama Sveučilišta</w:t>
            </w:r>
            <w:r w:rsidRPr="002F5570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2F5570">
              <w:rPr>
                <w:rFonts w:ascii="Calibri Light" w:hAnsi="Calibri Light" w:cs="Calibri Light"/>
                <w:lang w:val="en-US"/>
              </w:rPr>
              <w:t>i</w:t>
            </w:r>
            <w:proofErr w:type="spellEnd"/>
            <w:r w:rsidRPr="002F5570">
              <w:rPr>
                <w:rFonts w:ascii="Calibri Light" w:hAnsi="Calibri Light" w:cs="Calibri Light"/>
                <w:lang w:val="en-US"/>
              </w:rPr>
              <w:t xml:space="preserve"> u ISVU. </w:t>
            </w:r>
          </w:p>
        </w:tc>
      </w:tr>
      <w:tr w:rsidR="005028FA" w:rsidRPr="002F5570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 xml:space="preserve">Ostale važne činjenice </w:t>
            </w:r>
            <w:proofErr w:type="spellStart"/>
            <w:r w:rsidRPr="002F5570">
              <w:rPr>
                <w:rFonts w:ascii="Calibri Light" w:hAnsi="Calibri Light" w:cs="Calibri Light"/>
                <w:lang w:val="en-US"/>
              </w:rPr>
              <w:t>vezane</w:t>
            </w:r>
            <w:proofErr w:type="spellEnd"/>
            <w:r w:rsidRPr="002F5570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2F5570">
              <w:rPr>
                <w:rFonts w:ascii="Calibri Light" w:hAnsi="Calibri Light" w:cs="Calibri Light"/>
                <w:lang w:val="en-US"/>
              </w:rPr>
              <w:t>uz</w:t>
            </w:r>
            <w:proofErr w:type="spellEnd"/>
            <w:r w:rsidRPr="002F5570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2F5570">
              <w:rPr>
                <w:rFonts w:ascii="Calibri Light" w:hAnsi="Calibri Light" w:cs="Calibri Light"/>
                <w:lang w:val="en-US"/>
              </w:rPr>
              <w:t>kolegij</w:t>
            </w:r>
            <w:proofErr w:type="spellEnd"/>
          </w:p>
        </w:tc>
        <w:tc>
          <w:tcPr>
            <w:tcW w:w="6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28FA" w:rsidRPr="002F5570" w:rsidRDefault="005028FA" w:rsidP="0063471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>Konzultacije i materijali za predavanja i seminare objavljuju se na e</w:t>
            </w:r>
            <w:r w:rsidRPr="002F5570">
              <w:rPr>
                <w:rFonts w:ascii="Calibri Light" w:hAnsi="Calibri Light" w:cs="Calibri Light"/>
                <w:lang w:val="en-US"/>
              </w:rPr>
              <w:t>-</w:t>
            </w:r>
            <w:proofErr w:type="spellStart"/>
            <w:r w:rsidRPr="002F5570">
              <w:rPr>
                <w:rFonts w:ascii="Calibri Light" w:hAnsi="Calibri Light" w:cs="Calibri Light"/>
                <w:lang w:val="en-US"/>
              </w:rPr>
              <w:t>učenj</w:t>
            </w:r>
            <w:proofErr w:type="spellEnd"/>
            <w:r w:rsidRPr="002F5570">
              <w:rPr>
                <w:rFonts w:ascii="Calibri Light" w:hAnsi="Calibri Light" w:cs="Calibri Light"/>
              </w:rPr>
              <w:t>u. Informacije vezane uz terensku nastavu i obvezu izrade projekta objavljuju se početkom akademske godine na nastavi, a biti će objavljene i na e-učenju uz posebnu opasku aktivnosti za redovne studente.</w:t>
            </w:r>
          </w:p>
        </w:tc>
      </w:tr>
      <w:tr w:rsidR="005028FA" w:rsidRPr="002F5570">
        <w:trPr>
          <w:trHeight w:val="770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F5570">
              <w:rPr>
                <w:rFonts w:ascii="Calibri Light" w:hAnsi="Calibri Light" w:cs="Calibri Light"/>
              </w:rPr>
              <w:t>Literatura</w:t>
            </w:r>
          </w:p>
        </w:tc>
        <w:tc>
          <w:tcPr>
            <w:tcW w:w="6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  <w:u w:val="single"/>
              </w:rPr>
            </w:pPr>
            <w:r w:rsidRPr="002F5570">
              <w:rPr>
                <w:rFonts w:ascii="Calibri Light" w:hAnsi="Calibri Light" w:cs="Calibri Light"/>
                <w:b/>
                <w:bCs/>
                <w:u w:val="single"/>
              </w:rPr>
              <w:t xml:space="preserve">Obvezna: </w:t>
            </w:r>
          </w:p>
          <w:p w:rsidR="005028FA" w:rsidRPr="002F5570" w:rsidRDefault="005028FA" w:rsidP="00EA6C80">
            <w:pPr>
              <w:spacing w:after="0" w:line="240" w:lineRule="auto"/>
              <w:rPr>
                <w:rFonts w:ascii="Calibri Light" w:hAnsi="Calibri Light" w:cs="Calibri Light"/>
                <w:b/>
                <w:bCs/>
                <w:u w:val="single"/>
              </w:rPr>
            </w:pPr>
          </w:p>
          <w:p w:rsidR="005028FA" w:rsidRPr="00D542FD" w:rsidRDefault="005028FA" w:rsidP="00B6123E">
            <w:pPr>
              <w:numPr>
                <w:ilvl w:val="0"/>
                <w:numId w:val="5"/>
              </w:numPr>
              <w:spacing w:after="0" w:line="240" w:lineRule="auto"/>
              <w:rPr>
                <w:i/>
                <w:iCs/>
              </w:rPr>
            </w:pPr>
            <w:r w:rsidRPr="00AB0E3A">
              <w:rPr>
                <w:color w:val="000000"/>
              </w:rPr>
              <w:t xml:space="preserve">UNESCO (2013) </w:t>
            </w:r>
            <w:proofErr w:type="spellStart"/>
            <w:r w:rsidRPr="00AB0E3A">
              <w:rPr>
                <w:i/>
                <w:iCs/>
                <w:color w:val="000000"/>
              </w:rPr>
              <w:t>Managing</w:t>
            </w:r>
            <w:proofErr w:type="spellEnd"/>
            <w:r w:rsidRPr="00AB0E3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AB0E3A">
              <w:rPr>
                <w:i/>
                <w:iCs/>
                <w:color w:val="000000"/>
              </w:rPr>
              <w:t>Cultural</w:t>
            </w:r>
            <w:proofErr w:type="spellEnd"/>
            <w:r w:rsidRPr="00AB0E3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AB0E3A">
              <w:rPr>
                <w:i/>
                <w:iCs/>
                <w:color w:val="000000"/>
              </w:rPr>
              <w:t>Heritage</w:t>
            </w:r>
            <w:proofErr w:type="spellEnd"/>
            <w:r w:rsidRPr="00AB0E3A">
              <w:rPr>
                <w:i/>
                <w:iCs/>
                <w:color w:val="000000"/>
              </w:rPr>
              <w:t xml:space="preserve">. World </w:t>
            </w:r>
            <w:proofErr w:type="spellStart"/>
            <w:r w:rsidRPr="00AB0E3A">
              <w:rPr>
                <w:i/>
                <w:iCs/>
                <w:color w:val="000000"/>
              </w:rPr>
              <w:t>Heritage</w:t>
            </w:r>
            <w:proofErr w:type="spellEnd"/>
            <w:r w:rsidRPr="00AB0E3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AB0E3A">
              <w:rPr>
                <w:i/>
                <w:iCs/>
                <w:color w:val="000000"/>
              </w:rPr>
              <w:t>Resource</w:t>
            </w:r>
            <w:proofErr w:type="spellEnd"/>
            <w:r w:rsidRPr="00AB0E3A">
              <w:rPr>
                <w:i/>
                <w:iCs/>
                <w:color w:val="000000"/>
              </w:rPr>
              <w:t xml:space="preserve"> Manual.</w:t>
            </w:r>
            <w:r w:rsidRPr="00AB0E3A">
              <w:rPr>
                <w:color w:val="000000"/>
              </w:rPr>
              <w:t xml:space="preserve"> Paris: UNESCO. (</w:t>
            </w:r>
            <w:r w:rsidRPr="00AB0E3A">
              <w:rPr>
                <w:i/>
                <w:iCs/>
                <w:color w:val="000000"/>
              </w:rPr>
              <w:t xml:space="preserve">Poglavlja: </w:t>
            </w:r>
            <w:proofErr w:type="spellStart"/>
            <w:r w:rsidRPr="00AB0E3A">
              <w:rPr>
                <w:i/>
                <w:iCs/>
                <w:color w:val="000000"/>
              </w:rPr>
              <w:t>Context</w:t>
            </w:r>
            <w:proofErr w:type="spellEnd"/>
            <w:r w:rsidRPr="00AB0E3A">
              <w:rPr>
                <w:i/>
                <w:iCs/>
                <w:color w:val="000000"/>
              </w:rPr>
              <w:t xml:space="preserve">: </w:t>
            </w:r>
            <w:proofErr w:type="spellStart"/>
            <w:r w:rsidRPr="00AB0E3A">
              <w:rPr>
                <w:i/>
                <w:iCs/>
                <w:color w:val="000000"/>
              </w:rPr>
              <w:t>managing</w:t>
            </w:r>
            <w:proofErr w:type="spellEnd"/>
            <w:r w:rsidRPr="00AB0E3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AB0E3A">
              <w:rPr>
                <w:i/>
                <w:iCs/>
                <w:color w:val="000000"/>
              </w:rPr>
              <w:t>cultural</w:t>
            </w:r>
            <w:proofErr w:type="spellEnd"/>
            <w:r w:rsidRPr="00AB0E3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AB0E3A">
              <w:rPr>
                <w:i/>
                <w:iCs/>
                <w:color w:val="000000"/>
              </w:rPr>
              <w:t>heritage</w:t>
            </w:r>
            <w:proofErr w:type="spellEnd"/>
            <w:r w:rsidRPr="00AB0E3A">
              <w:rPr>
                <w:i/>
                <w:iCs/>
                <w:color w:val="000000"/>
              </w:rPr>
              <w:t xml:space="preserve"> 12-29. str.; </w:t>
            </w:r>
            <w:proofErr w:type="spellStart"/>
            <w:r w:rsidRPr="00AB0E3A">
              <w:rPr>
                <w:i/>
                <w:iCs/>
                <w:color w:val="000000"/>
              </w:rPr>
              <w:t>Understanding</w:t>
            </w:r>
            <w:proofErr w:type="spellEnd"/>
            <w:r w:rsidRPr="00AB0E3A">
              <w:rPr>
                <w:i/>
                <w:iCs/>
                <w:color w:val="000000"/>
              </w:rPr>
              <w:t xml:space="preserve"> management </w:t>
            </w:r>
            <w:proofErr w:type="spellStart"/>
            <w:r w:rsidRPr="00AB0E3A">
              <w:rPr>
                <w:i/>
                <w:iCs/>
                <w:color w:val="000000"/>
              </w:rPr>
              <w:t>in</w:t>
            </w:r>
            <w:proofErr w:type="spellEnd"/>
            <w:r w:rsidRPr="00AB0E3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AB0E3A">
              <w:rPr>
                <w:i/>
                <w:iCs/>
                <w:color w:val="000000"/>
              </w:rPr>
              <w:t>the</w:t>
            </w:r>
            <w:proofErr w:type="spellEnd"/>
            <w:r w:rsidRPr="00AB0E3A">
              <w:rPr>
                <w:i/>
                <w:iCs/>
                <w:color w:val="000000"/>
              </w:rPr>
              <w:t xml:space="preserve"> World </w:t>
            </w:r>
            <w:proofErr w:type="spellStart"/>
            <w:r w:rsidRPr="00AB0E3A">
              <w:rPr>
                <w:i/>
                <w:iCs/>
                <w:color w:val="000000"/>
              </w:rPr>
              <w:t>Heritage</w:t>
            </w:r>
            <w:proofErr w:type="spellEnd"/>
            <w:r w:rsidRPr="00AB0E3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AB0E3A">
              <w:rPr>
                <w:i/>
                <w:iCs/>
                <w:color w:val="000000"/>
              </w:rPr>
              <w:t>context</w:t>
            </w:r>
            <w:proofErr w:type="spellEnd"/>
            <w:r w:rsidRPr="00AB0E3A">
              <w:rPr>
                <w:i/>
                <w:iCs/>
                <w:color w:val="000000"/>
              </w:rPr>
              <w:t xml:space="preserve"> 29-40.str.; </w:t>
            </w:r>
            <w:proofErr w:type="spellStart"/>
            <w:r w:rsidRPr="00AB0E3A">
              <w:rPr>
                <w:i/>
                <w:iCs/>
                <w:color w:val="000000"/>
              </w:rPr>
              <w:t>Defining</w:t>
            </w:r>
            <w:proofErr w:type="spellEnd"/>
            <w:r w:rsidRPr="00AB0E3A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AB0E3A">
              <w:rPr>
                <w:i/>
                <w:iCs/>
                <w:color w:val="000000"/>
              </w:rPr>
              <w:t>assessing</w:t>
            </w:r>
            <w:proofErr w:type="spellEnd"/>
            <w:r w:rsidRPr="00AB0E3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AB0E3A">
              <w:rPr>
                <w:i/>
                <w:iCs/>
                <w:color w:val="000000"/>
              </w:rPr>
              <w:t>and</w:t>
            </w:r>
            <w:proofErr w:type="spellEnd"/>
            <w:r w:rsidRPr="00AB0E3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AB0E3A">
              <w:rPr>
                <w:i/>
                <w:iCs/>
                <w:color w:val="000000"/>
              </w:rPr>
              <w:t>improving</w:t>
            </w:r>
            <w:proofErr w:type="spellEnd"/>
            <w:r w:rsidRPr="00AB0E3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AB0E3A">
              <w:rPr>
                <w:i/>
                <w:iCs/>
                <w:color w:val="000000"/>
              </w:rPr>
              <w:t>heritage</w:t>
            </w:r>
            <w:proofErr w:type="spellEnd"/>
            <w:r w:rsidRPr="00AB0E3A">
              <w:rPr>
                <w:i/>
                <w:iCs/>
                <w:color w:val="000000"/>
              </w:rPr>
              <w:t xml:space="preserve"> management </w:t>
            </w:r>
            <w:proofErr w:type="spellStart"/>
            <w:r w:rsidRPr="00AB0E3A">
              <w:rPr>
                <w:i/>
                <w:iCs/>
                <w:color w:val="000000"/>
              </w:rPr>
              <w:t>systems</w:t>
            </w:r>
            <w:proofErr w:type="spellEnd"/>
            <w:r w:rsidRPr="00AB0E3A">
              <w:rPr>
                <w:i/>
                <w:iCs/>
                <w:color w:val="000000"/>
              </w:rPr>
              <w:t xml:space="preserve"> 53-121.str</w:t>
            </w:r>
            <w:r w:rsidRPr="00D542FD">
              <w:rPr>
                <w:i/>
                <w:iCs/>
              </w:rPr>
              <w:t xml:space="preserve">. </w:t>
            </w:r>
            <w:r w:rsidRPr="00D542FD">
              <w:t>(96 str.)</w:t>
            </w:r>
          </w:p>
          <w:p w:rsidR="005028FA" w:rsidRPr="00D542FD" w:rsidRDefault="005028FA" w:rsidP="00B6123E">
            <w:pPr>
              <w:numPr>
                <w:ilvl w:val="0"/>
                <w:numId w:val="5"/>
              </w:numPr>
              <w:spacing w:after="0" w:line="240" w:lineRule="auto"/>
              <w:rPr>
                <w:i/>
                <w:iCs/>
              </w:rPr>
            </w:pPr>
            <w:r w:rsidRPr="00D542FD">
              <w:t xml:space="preserve">Antolović, Jadran (1998): </w:t>
            </w:r>
            <w:r w:rsidRPr="00D542FD">
              <w:rPr>
                <w:i/>
                <w:iCs/>
              </w:rPr>
              <w:t xml:space="preserve">Ekonomsko vrednovanje graditeljske baštine, </w:t>
            </w:r>
            <w:r w:rsidRPr="00D542FD">
              <w:t xml:space="preserve">Zagreb: </w:t>
            </w:r>
            <w:proofErr w:type="spellStart"/>
            <w:r w:rsidRPr="00D542FD">
              <w:t>Mikrorad</w:t>
            </w:r>
            <w:proofErr w:type="spellEnd"/>
            <w:r w:rsidRPr="00D542FD">
              <w:t xml:space="preserve"> (140 str.).</w:t>
            </w:r>
          </w:p>
          <w:p w:rsidR="005028FA" w:rsidRPr="00D542FD" w:rsidRDefault="005028FA" w:rsidP="00B6123E">
            <w:pPr>
              <w:numPr>
                <w:ilvl w:val="0"/>
                <w:numId w:val="5"/>
              </w:numPr>
              <w:spacing w:after="0" w:line="240" w:lineRule="auto"/>
              <w:rPr>
                <w:i/>
                <w:iCs/>
              </w:rPr>
            </w:pPr>
            <w:r w:rsidRPr="00D542FD">
              <w:t xml:space="preserve">Antolović, Jadran (2006): </w:t>
            </w:r>
            <w:r w:rsidRPr="00D542FD">
              <w:rPr>
                <w:i/>
                <w:iCs/>
              </w:rPr>
              <w:t xml:space="preserve">Očuvajmo kulturnu baštinu, Vodič za pripremu i provedbu projekata očuvanja kulturnih dobara, </w:t>
            </w:r>
            <w:r w:rsidRPr="00D542FD">
              <w:t>Zagreb: Ministarstvo kulture Republike Hrvatske (118 str.)</w:t>
            </w:r>
          </w:p>
          <w:p w:rsidR="005028FA" w:rsidRPr="00D542FD" w:rsidRDefault="005028FA" w:rsidP="00B6123E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</w:pPr>
            <w:proofErr w:type="spellStart"/>
            <w:r w:rsidRPr="00D542FD">
              <w:t>Domijan</w:t>
            </w:r>
            <w:proofErr w:type="spellEnd"/>
            <w:r w:rsidRPr="00D542FD">
              <w:t>, Miljenko (</w:t>
            </w:r>
            <w:proofErr w:type="spellStart"/>
            <w:r w:rsidRPr="00D542FD">
              <w:t>ed</w:t>
            </w:r>
            <w:proofErr w:type="spellEnd"/>
            <w:r w:rsidRPr="00D542FD">
              <w:t xml:space="preserve">.) (2004): </w:t>
            </w:r>
            <w:r w:rsidRPr="00D542FD">
              <w:rPr>
                <w:i/>
                <w:iCs/>
              </w:rPr>
              <w:t xml:space="preserve">World </w:t>
            </w:r>
            <w:proofErr w:type="spellStart"/>
            <w:r w:rsidRPr="00D542FD">
              <w:rPr>
                <w:i/>
                <w:iCs/>
              </w:rPr>
              <w:t>Heritage</w:t>
            </w:r>
            <w:proofErr w:type="spellEnd"/>
            <w:r w:rsidRPr="00D542FD">
              <w:rPr>
                <w:i/>
                <w:iCs/>
              </w:rPr>
              <w:t xml:space="preserve"> </w:t>
            </w:r>
            <w:proofErr w:type="spellStart"/>
            <w:r w:rsidRPr="00D542FD">
              <w:rPr>
                <w:i/>
                <w:iCs/>
              </w:rPr>
              <w:t>Sites</w:t>
            </w:r>
            <w:proofErr w:type="spellEnd"/>
            <w:r w:rsidRPr="00D542FD">
              <w:rPr>
                <w:i/>
                <w:iCs/>
              </w:rPr>
              <w:t xml:space="preserve"> </w:t>
            </w:r>
            <w:proofErr w:type="spellStart"/>
            <w:r w:rsidRPr="00D542FD">
              <w:rPr>
                <w:i/>
                <w:iCs/>
              </w:rPr>
              <w:t>in</w:t>
            </w:r>
            <w:proofErr w:type="spellEnd"/>
            <w:r w:rsidRPr="00D542FD">
              <w:rPr>
                <w:i/>
                <w:iCs/>
              </w:rPr>
              <w:t xml:space="preserve"> Croatia</w:t>
            </w:r>
            <w:r w:rsidRPr="00D542FD">
              <w:t xml:space="preserve">, </w:t>
            </w:r>
            <w:proofErr w:type="spellStart"/>
            <w:r w:rsidRPr="00D542FD">
              <w:t>Ministry</w:t>
            </w:r>
            <w:proofErr w:type="spellEnd"/>
            <w:r w:rsidRPr="00D542FD">
              <w:t xml:space="preserve"> </w:t>
            </w:r>
            <w:proofErr w:type="spellStart"/>
            <w:r w:rsidRPr="00D542FD">
              <w:t>of</w:t>
            </w:r>
            <w:proofErr w:type="spellEnd"/>
            <w:r w:rsidRPr="00D542FD">
              <w:t xml:space="preserve"> </w:t>
            </w:r>
            <w:proofErr w:type="spellStart"/>
            <w:r w:rsidRPr="00D542FD">
              <w:t>Culture</w:t>
            </w:r>
            <w:proofErr w:type="spellEnd"/>
            <w:r w:rsidRPr="00D542FD">
              <w:t xml:space="preserve"> </w:t>
            </w:r>
            <w:proofErr w:type="spellStart"/>
            <w:r w:rsidRPr="00D542FD">
              <w:t>of</w:t>
            </w:r>
            <w:proofErr w:type="spellEnd"/>
            <w:r w:rsidRPr="00D542FD">
              <w:t xml:space="preserve"> </w:t>
            </w:r>
            <w:proofErr w:type="spellStart"/>
            <w:r w:rsidRPr="00D542FD">
              <w:t>the</w:t>
            </w:r>
            <w:proofErr w:type="spellEnd"/>
            <w:r w:rsidRPr="00D542FD">
              <w:t xml:space="preserve"> Republic </w:t>
            </w:r>
            <w:proofErr w:type="spellStart"/>
            <w:r w:rsidRPr="00D542FD">
              <w:t>of</w:t>
            </w:r>
            <w:proofErr w:type="spellEnd"/>
            <w:r w:rsidRPr="00D542FD">
              <w:t xml:space="preserve"> Croatia, Zagreb. (95 str.) .</w:t>
            </w:r>
          </w:p>
          <w:p w:rsidR="005028FA" w:rsidRPr="00D542FD" w:rsidRDefault="005028FA" w:rsidP="00B6123E">
            <w:pPr>
              <w:numPr>
                <w:ilvl w:val="0"/>
                <w:numId w:val="5"/>
              </w:numPr>
              <w:spacing w:after="0" w:line="240" w:lineRule="auto"/>
            </w:pPr>
            <w:r w:rsidRPr="00D542FD">
              <w:t>Jelinčić, D.A. (2010</w:t>
            </w:r>
            <w:r w:rsidRPr="00D542FD">
              <w:rPr>
                <w:i/>
                <w:iCs/>
              </w:rPr>
              <w:t>) Kultura u izlogu. Kratki vodič za upravljanje kulturnim dobrima</w:t>
            </w:r>
            <w:r w:rsidRPr="00D542FD">
              <w:t>. Zagreb:</w:t>
            </w:r>
            <w:r w:rsidR="00D25D89" w:rsidRPr="00D542FD">
              <w:t xml:space="preserve"> </w:t>
            </w:r>
            <w:proofErr w:type="spellStart"/>
            <w:r w:rsidRPr="00D542FD">
              <w:t>Meandarmedia</w:t>
            </w:r>
            <w:proofErr w:type="spellEnd"/>
            <w:r w:rsidRPr="00D542FD">
              <w:t>. (125 str.).</w:t>
            </w:r>
          </w:p>
          <w:p w:rsidR="005028FA" w:rsidRPr="00D542FD" w:rsidRDefault="005028FA" w:rsidP="00E311EC">
            <w:pPr>
              <w:spacing w:after="0" w:line="240" w:lineRule="auto"/>
              <w:ind w:left="360"/>
            </w:pPr>
          </w:p>
          <w:p w:rsidR="005028FA" w:rsidRPr="00D542FD" w:rsidRDefault="005028FA" w:rsidP="006B2078">
            <w:pPr>
              <w:spacing w:after="0" w:line="240" w:lineRule="auto"/>
              <w:ind w:left="720"/>
            </w:pPr>
          </w:p>
          <w:p w:rsidR="005028FA" w:rsidRPr="00D542FD" w:rsidRDefault="005028FA" w:rsidP="0063471F">
            <w:pPr>
              <w:spacing w:after="0" w:line="240" w:lineRule="auto"/>
              <w:ind w:left="360"/>
              <w:jc w:val="center"/>
              <w:rPr>
                <w:bCs/>
              </w:rPr>
            </w:pPr>
            <w:r w:rsidRPr="00D542FD">
              <w:rPr>
                <w:bCs/>
              </w:rPr>
              <w:t xml:space="preserve"> (ukupno  </w:t>
            </w:r>
            <w:r w:rsidR="004F2571" w:rsidRPr="00D542FD">
              <w:rPr>
                <w:bCs/>
              </w:rPr>
              <w:t xml:space="preserve">574 </w:t>
            </w:r>
            <w:r w:rsidRPr="00D542FD">
              <w:rPr>
                <w:bCs/>
              </w:rPr>
              <w:t>str.)</w:t>
            </w:r>
          </w:p>
          <w:p w:rsidR="005028FA" w:rsidRPr="00AB0E3A" w:rsidRDefault="005028FA" w:rsidP="00EA6C80">
            <w:pPr>
              <w:spacing w:after="0" w:line="240" w:lineRule="auto"/>
              <w:rPr>
                <w:b/>
                <w:bCs/>
                <w:u w:val="single"/>
              </w:rPr>
            </w:pPr>
          </w:p>
          <w:p w:rsidR="005028FA" w:rsidRPr="00AB0E3A" w:rsidRDefault="005028FA" w:rsidP="00EA6C80">
            <w:pPr>
              <w:spacing w:after="0" w:line="240" w:lineRule="auto"/>
              <w:rPr>
                <w:b/>
                <w:bCs/>
                <w:u w:val="single"/>
              </w:rPr>
            </w:pPr>
            <w:r w:rsidRPr="00AB0E3A">
              <w:rPr>
                <w:b/>
                <w:bCs/>
                <w:u w:val="single"/>
              </w:rPr>
              <w:t>Izborna:</w:t>
            </w:r>
          </w:p>
          <w:p w:rsidR="004F2571" w:rsidRPr="004F2571" w:rsidRDefault="004F2571" w:rsidP="00B6123E">
            <w:pPr>
              <w:numPr>
                <w:ilvl w:val="0"/>
                <w:numId w:val="5"/>
              </w:numPr>
              <w:spacing w:after="0" w:line="240" w:lineRule="auto"/>
              <w:rPr>
                <w:i/>
                <w:iCs/>
                <w:color w:val="000000"/>
              </w:rPr>
            </w:pPr>
            <w:r w:rsidRPr="00AB0E3A">
              <w:t xml:space="preserve">Antolović, Jadran (2009): </w:t>
            </w:r>
            <w:r w:rsidRPr="00AB0E3A">
              <w:rPr>
                <w:i/>
                <w:iCs/>
              </w:rPr>
              <w:t xml:space="preserve">Zaštita i očuvanje kulturnih dobara. </w:t>
            </w:r>
            <w:r>
              <w:t xml:space="preserve">Zagreb: </w:t>
            </w:r>
            <w:proofErr w:type="spellStart"/>
            <w:r>
              <w:t>Hadrian</w:t>
            </w:r>
            <w:proofErr w:type="spellEnd"/>
          </w:p>
          <w:p w:rsidR="005028FA" w:rsidRDefault="005028FA" w:rsidP="00B6123E">
            <w:pPr>
              <w:numPr>
                <w:ilvl w:val="0"/>
                <w:numId w:val="5"/>
              </w:numPr>
              <w:spacing w:after="0" w:line="240" w:lineRule="auto"/>
            </w:pPr>
            <w:r>
              <w:t xml:space="preserve">Antolović, J. (2013): </w:t>
            </w:r>
            <w:r w:rsidRPr="004265F3">
              <w:rPr>
                <w:i/>
                <w:iCs/>
              </w:rPr>
              <w:t>Menadžment u kulturi</w:t>
            </w:r>
            <w:r>
              <w:t xml:space="preserve">. Zagreb: </w:t>
            </w:r>
            <w:proofErr w:type="spellStart"/>
            <w:r>
              <w:t>Hadrian</w:t>
            </w:r>
            <w:proofErr w:type="spellEnd"/>
            <w:r>
              <w:t>.</w:t>
            </w:r>
          </w:p>
          <w:p w:rsidR="005028FA" w:rsidRDefault="005028FA" w:rsidP="00B6123E">
            <w:pPr>
              <w:numPr>
                <w:ilvl w:val="0"/>
                <w:numId w:val="5"/>
              </w:numPr>
              <w:spacing w:after="0" w:line="240" w:lineRule="auto"/>
            </w:pPr>
            <w:proofErr w:type="spellStart"/>
            <w:r>
              <w:lastRenderedPageBreak/>
              <w:t>Ashwort</w:t>
            </w:r>
            <w:proofErr w:type="spellEnd"/>
            <w:r>
              <w:t>, G.</w:t>
            </w:r>
            <w:r w:rsidR="00533CD3">
              <w:t>J.</w:t>
            </w:r>
            <w:r>
              <w:t xml:space="preserve">, </w:t>
            </w:r>
            <w:proofErr w:type="spellStart"/>
            <w:r>
              <w:t>Howard</w:t>
            </w:r>
            <w:proofErr w:type="spellEnd"/>
            <w:r>
              <w:t xml:space="preserve">, P. (1999): </w:t>
            </w:r>
            <w:r w:rsidRPr="00A37D42">
              <w:rPr>
                <w:i/>
                <w:iCs/>
              </w:rPr>
              <w:t xml:space="preserve">European </w:t>
            </w:r>
            <w:proofErr w:type="spellStart"/>
            <w:r w:rsidRPr="00A37D42">
              <w:rPr>
                <w:i/>
                <w:iCs/>
              </w:rPr>
              <w:t>Heritag</w:t>
            </w:r>
            <w:r>
              <w:rPr>
                <w:i/>
                <w:iCs/>
              </w:rPr>
              <w:t>e</w:t>
            </w:r>
            <w:proofErr w:type="spellEnd"/>
            <w:r w:rsidRPr="00A37D42">
              <w:rPr>
                <w:i/>
                <w:iCs/>
              </w:rPr>
              <w:t xml:space="preserve">, </w:t>
            </w:r>
            <w:proofErr w:type="spellStart"/>
            <w:r w:rsidRPr="00A37D42">
              <w:rPr>
                <w:i/>
                <w:iCs/>
              </w:rPr>
              <w:t>Planning</w:t>
            </w:r>
            <w:proofErr w:type="spellEnd"/>
            <w:r w:rsidRPr="00A37D42">
              <w:rPr>
                <w:i/>
                <w:iCs/>
              </w:rPr>
              <w:t xml:space="preserve"> </w:t>
            </w:r>
            <w:proofErr w:type="spellStart"/>
            <w:r w:rsidRPr="00A37D42">
              <w:rPr>
                <w:i/>
                <w:iCs/>
              </w:rPr>
              <w:t>and</w:t>
            </w:r>
            <w:proofErr w:type="spellEnd"/>
            <w:r w:rsidRPr="00A37D42">
              <w:rPr>
                <w:i/>
                <w:iCs/>
              </w:rPr>
              <w:t xml:space="preserve"> Management</w:t>
            </w:r>
            <w:r>
              <w:t xml:space="preserve">. </w:t>
            </w:r>
            <w:proofErr w:type="spellStart"/>
            <w:r>
              <w:t>Wilthshire</w:t>
            </w:r>
            <w:proofErr w:type="spellEnd"/>
            <w:r>
              <w:t xml:space="preserve">: </w:t>
            </w:r>
            <w:proofErr w:type="spellStart"/>
            <w:r>
              <w:t>Cromwell</w:t>
            </w:r>
            <w:proofErr w:type="spellEnd"/>
            <w:r>
              <w:t xml:space="preserve"> Press.</w:t>
            </w:r>
          </w:p>
          <w:p w:rsidR="005028FA" w:rsidRDefault="005028FA" w:rsidP="00B6123E">
            <w:pPr>
              <w:numPr>
                <w:ilvl w:val="0"/>
                <w:numId w:val="5"/>
              </w:numPr>
              <w:spacing w:after="0" w:line="240" w:lineRule="auto"/>
              <w:rPr>
                <w:lang w:eastAsia="hr-HR"/>
              </w:rPr>
            </w:pPr>
            <w:proofErr w:type="spellStart"/>
            <w:r w:rsidRPr="00A37D42">
              <w:t>Ashworth</w:t>
            </w:r>
            <w:proofErr w:type="spellEnd"/>
            <w:r w:rsidRPr="00A37D42">
              <w:t>, G.</w:t>
            </w:r>
            <w:r w:rsidR="00533CD3">
              <w:t>J.</w:t>
            </w:r>
            <w:r w:rsidRPr="00A37D42">
              <w:t xml:space="preserve"> Graham, B., </w:t>
            </w:r>
            <w:proofErr w:type="spellStart"/>
            <w:r w:rsidRPr="00A37D42">
              <w:t>Tunbridge</w:t>
            </w:r>
            <w:proofErr w:type="spellEnd"/>
            <w:r w:rsidRPr="00A37D42">
              <w:t>, J.</w:t>
            </w:r>
            <w:r>
              <w:t xml:space="preserve"> (2007)</w:t>
            </w:r>
            <w:r w:rsidRPr="00A37D42">
              <w:t xml:space="preserve">: </w:t>
            </w:r>
            <w:proofErr w:type="spellStart"/>
            <w:r w:rsidRPr="00A37D42">
              <w:rPr>
                <w:i/>
                <w:iCs/>
                <w:lang w:eastAsia="hr-HR"/>
              </w:rPr>
              <w:t>Pluralising</w:t>
            </w:r>
            <w:proofErr w:type="spellEnd"/>
            <w:r w:rsidRPr="00A37D42">
              <w:rPr>
                <w:i/>
                <w:iCs/>
                <w:lang w:eastAsia="hr-HR"/>
              </w:rPr>
              <w:t xml:space="preserve"> </w:t>
            </w:r>
            <w:proofErr w:type="spellStart"/>
            <w:r w:rsidRPr="00A37D42">
              <w:rPr>
                <w:i/>
                <w:iCs/>
                <w:lang w:eastAsia="hr-HR"/>
              </w:rPr>
              <w:t>Pasts</w:t>
            </w:r>
            <w:proofErr w:type="spellEnd"/>
            <w:r w:rsidRPr="00A37D42">
              <w:rPr>
                <w:i/>
                <w:iCs/>
                <w:lang w:eastAsia="hr-HR"/>
              </w:rPr>
              <w:t xml:space="preserve">: </w:t>
            </w:r>
            <w:proofErr w:type="spellStart"/>
            <w:r w:rsidRPr="00A37D42">
              <w:rPr>
                <w:i/>
                <w:iCs/>
                <w:lang w:eastAsia="hr-HR"/>
              </w:rPr>
              <w:t>Heritage</w:t>
            </w:r>
            <w:proofErr w:type="spellEnd"/>
            <w:r w:rsidRPr="00A37D42">
              <w:rPr>
                <w:i/>
                <w:iCs/>
                <w:lang w:eastAsia="hr-HR"/>
              </w:rPr>
              <w:t xml:space="preserve">, </w:t>
            </w:r>
            <w:proofErr w:type="spellStart"/>
            <w:r w:rsidRPr="00A37D42">
              <w:rPr>
                <w:i/>
                <w:iCs/>
                <w:lang w:eastAsia="hr-HR"/>
              </w:rPr>
              <w:t>Identity</w:t>
            </w:r>
            <w:proofErr w:type="spellEnd"/>
            <w:r w:rsidRPr="00A37D42">
              <w:rPr>
                <w:i/>
                <w:iCs/>
                <w:lang w:eastAsia="hr-HR"/>
              </w:rPr>
              <w:t xml:space="preserve"> </w:t>
            </w:r>
            <w:proofErr w:type="spellStart"/>
            <w:r w:rsidRPr="00A37D42">
              <w:rPr>
                <w:i/>
                <w:iCs/>
                <w:lang w:eastAsia="hr-HR"/>
              </w:rPr>
              <w:t>and</w:t>
            </w:r>
            <w:proofErr w:type="spellEnd"/>
            <w:r w:rsidRPr="00A37D42">
              <w:rPr>
                <w:i/>
                <w:iCs/>
                <w:lang w:eastAsia="hr-HR"/>
              </w:rPr>
              <w:t xml:space="preserve"> Place </w:t>
            </w:r>
            <w:proofErr w:type="spellStart"/>
            <w:r w:rsidRPr="00A37D42">
              <w:rPr>
                <w:i/>
                <w:iCs/>
                <w:lang w:eastAsia="hr-HR"/>
              </w:rPr>
              <w:t>in</w:t>
            </w:r>
            <w:proofErr w:type="spellEnd"/>
            <w:r w:rsidRPr="00A37D42">
              <w:rPr>
                <w:i/>
                <w:iCs/>
                <w:lang w:eastAsia="hr-HR"/>
              </w:rPr>
              <w:t xml:space="preserve"> </w:t>
            </w:r>
            <w:proofErr w:type="spellStart"/>
            <w:r w:rsidRPr="00A37D42">
              <w:rPr>
                <w:i/>
                <w:iCs/>
                <w:lang w:eastAsia="hr-HR"/>
              </w:rPr>
              <w:t>Multicultural</w:t>
            </w:r>
            <w:proofErr w:type="spellEnd"/>
            <w:r w:rsidRPr="00A37D42">
              <w:rPr>
                <w:i/>
                <w:iCs/>
                <w:lang w:eastAsia="hr-HR"/>
              </w:rPr>
              <w:t xml:space="preserve"> </w:t>
            </w:r>
            <w:proofErr w:type="spellStart"/>
            <w:r w:rsidRPr="00A37D42">
              <w:rPr>
                <w:i/>
                <w:iCs/>
                <w:lang w:eastAsia="hr-HR"/>
              </w:rPr>
              <w:t>Societies</w:t>
            </w:r>
            <w:proofErr w:type="spellEnd"/>
            <w:r w:rsidRPr="00A37D42">
              <w:rPr>
                <w:lang w:eastAsia="hr-HR"/>
              </w:rPr>
              <w:t xml:space="preserve">, </w:t>
            </w:r>
            <w:r>
              <w:rPr>
                <w:lang w:eastAsia="hr-HR"/>
              </w:rPr>
              <w:t xml:space="preserve">London: </w:t>
            </w:r>
            <w:proofErr w:type="spellStart"/>
            <w:r w:rsidRPr="00A37D42">
              <w:rPr>
                <w:lang w:eastAsia="hr-HR"/>
              </w:rPr>
              <w:t>Plutopress</w:t>
            </w:r>
            <w:proofErr w:type="spellEnd"/>
            <w:r w:rsidRPr="00A37D42">
              <w:rPr>
                <w:lang w:eastAsia="hr-HR"/>
              </w:rPr>
              <w:t>.</w:t>
            </w:r>
          </w:p>
          <w:p w:rsidR="00533CD3" w:rsidRPr="00A37D42" w:rsidRDefault="00533CD3" w:rsidP="00B6123E">
            <w:pPr>
              <w:numPr>
                <w:ilvl w:val="0"/>
                <w:numId w:val="5"/>
              </w:numPr>
              <w:spacing w:after="0" w:line="240" w:lineRule="auto"/>
              <w:rPr>
                <w:lang w:eastAsia="hr-HR"/>
              </w:rPr>
            </w:pPr>
            <w:proofErr w:type="spellStart"/>
            <w:r>
              <w:rPr>
                <w:lang w:eastAsia="hr-HR"/>
              </w:rPr>
              <w:t>Ashworth</w:t>
            </w:r>
            <w:proofErr w:type="spellEnd"/>
            <w:r>
              <w:rPr>
                <w:lang w:eastAsia="hr-HR"/>
              </w:rPr>
              <w:t xml:space="preserve"> G.J. </w:t>
            </w:r>
            <w:proofErr w:type="spellStart"/>
            <w:r>
              <w:rPr>
                <w:lang w:eastAsia="hr-HR"/>
              </w:rPr>
              <w:t>and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Tunbridge</w:t>
            </w:r>
            <w:proofErr w:type="spellEnd"/>
            <w:r>
              <w:rPr>
                <w:lang w:eastAsia="hr-HR"/>
              </w:rPr>
              <w:t xml:space="preserve">, J.E. (2000). </w:t>
            </w:r>
            <w:proofErr w:type="spellStart"/>
            <w:r w:rsidRPr="00533CD3">
              <w:rPr>
                <w:i/>
                <w:lang w:eastAsia="hr-HR"/>
              </w:rPr>
              <w:t>The</w:t>
            </w:r>
            <w:proofErr w:type="spellEnd"/>
            <w:r w:rsidRPr="00533CD3">
              <w:rPr>
                <w:i/>
                <w:lang w:eastAsia="hr-HR"/>
              </w:rPr>
              <w:t xml:space="preserve"> </w:t>
            </w:r>
            <w:proofErr w:type="spellStart"/>
            <w:r w:rsidRPr="00533CD3">
              <w:rPr>
                <w:i/>
                <w:lang w:eastAsia="hr-HR"/>
              </w:rPr>
              <w:t>tourist-historic</w:t>
            </w:r>
            <w:proofErr w:type="spellEnd"/>
            <w:r w:rsidRPr="00533CD3">
              <w:rPr>
                <w:i/>
                <w:lang w:eastAsia="hr-HR"/>
              </w:rPr>
              <w:t xml:space="preserve"> </w:t>
            </w:r>
            <w:proofErr w:type="spellStart"/>
            <w:r w:rsidRPr="00533CD3">
              <w:rPr>
                <w:i/>
                <w:lang w:eastAsia="hr-HR"/>
              </w:rPr>
              <w:t>city</w:t>
            </w:r>
            <w:proofErr w:type="spellEnd"/>
            <w:r w:rsidRPr="00533CD3">
              <w:rPr>
                <w:i/>
                <w:lang w:eastAsia="hr-HR"/>
              </w:rPr>
              <w:t xml:space="preserve">, </w:t>
            </w:r>
            <w:proofErr w:type="spellStart"/>
            <w:r w:rsidRPr="00533CD3">
              <w:rPr>
                <w:i/>
                <w:lang w:eastAsia="hr-HR"/>
              </w:rPr>
              <w:t>retrospect</w:t>
            </w:r>
            <w:proofErr w:type="spellEnd"/>
            <w:r w:rsidRPr="00533CD3">
              <w:rPr>
                <w:i/>
                <w:lang w:eastAsia="hr-HR"/>
              </w:rPr>
              <w:t xml:space="preserve"> </w:t>
            </w:r>
            <w:proofErr w:type="spellStart"/>
            <w:r w:rsidRPr="00533CD3">
              <w:rPr>
                <w:i/>
                <w:lang w:eastAsia="hr-HR"/>
              </w:rPr>
              <w:t>and</w:t>
            </w:r>
            <w:proofErr w:type="spellEnd"/>
            <w:r w:rsidRPr="00533CD3">
              <w:rPr>
                <w:i/>
                <w:lang w:eastAsia="hr-HR"/>
              </w:rPr>
              <w:t xml:space="preserve"> </w:t>
            </w:r>
            <w:proofErr w:type="spellStart"/>
            <w:r w:rsidRPr="00533CD3">
              <w:rPr>
                <w:i/>
                <w:lang w:eastAsia="hr-HR"/>
              </w:rPr>
              <w:t>prospect</w:t>
            </w:r>
            <w:proofErr w:type="spellEnd"/>
            <w:r w:rsidRPr="00533CD3">
              <w:rPr>
                <w:i/>
                <w:lang w:eastAsia="hr-HR"/>
              </w:rPr>
              <w:t xml:space="preserve"> </w:t>
            </w:r>
            <w:proofErr w:type="spellStart"/>
            <w:r w:rsidRPr="00533CD3">
              <w:rPr>
                <w:i/>
                <w:lang w:eastAsia="hr-HR"/>
              </w:rPr>
              <w:t>of</w:t>
            </w:r>
            <w:proofErr w:type="spellEnd"/>
            <w:r w:rsidRPr="00533CD3">
              <w:rPr>
                <w:i/>
                <w:lang w:eastAsia="hr-HR"/>
              </w:rPr>
              <w:t xml:space="preserve"> </w:t>
            </w:r>
            <w:proofErr w:type="spellStart"/>
            <w:r w:rsidRPr="00533CD3">
              <w:rPr>
                <w:i/>
                <w:lang w:eastAsia="hr-HR"/>
              </w:rPr>
              <w:t>managing</w:t>
            </w:r>
            <w:proofErr w:type="spellEnd"/>
            <w:r w:rsidRPr="00533CD3">
              <w:rPr>
                <w:i/>
                <w:lang w:eastAsia="hr-HR"/>
              </w:rPr>
              <w:t xml:space="preserve"> </w:t>
            </w:r>
            <w:proofErr w:type="spellStart"/>
            <w:r w:rsidRPr="00533CD3">
              <w:rPr>
                <w:i/>
                <w:lang w:eastAsia="hr-HR"/>
              </w:rPr>
              <w:t>the</w:t>
            </w:r>
            <w:proofErr w:type="spellEnd"/>
            <w:r w:rsidRPr="00533CD3">
              <w:rPr>
                <w:i/>
                <w:lang w:eastAsia="hr-HR"/>
              </w:rPr>
              <w:t xml:space="preserve"> </w:t>
            </w:r>
            <w:proofErr w:type="spellStart"/>
            <w:r w:rsidRPr="00533CD3">
              <w:rPr>
                <w:i/>
                <w:lang w:eastAsia="hr-HR"/>
              </w:rPr>
              <w:t>heritage</w:t>
            </w:r>
            <w:proofErr w:type="spellEnd"/>
            <w:r w:rsidRPr="00533CD3">
              <w:rPr>
                <w:i/>
                <w:lang w:eastAsia="hr-HR"/>
              </w:rPr>
              <w:t xml:space="preserve"> </w:t>
            </w:r>
            <w:proofErr w:type="spellStart"/>
            <w:r w:rsidRPr="00533CD3">
              <w:rPr>
                <w:i/>
                <w:lang w:eastAsia="hr-HR"/>
              </w:rPr>
              <w:t>city</w:t>
            </w:r>
            <w:proofErr w:type="spellEnd"/>
            <w:r>
              <w:rPr>
                <w:lang w:eastAsia="hr-HR"/>
              </w:rPr>
              <w:t xml:space="preserve">. </w:t>
            </w:r>
            <w:proofErr w:type="spellStart"/>
            <w:r>
              <w:rPr>
                <w:lang w:eastAsia="hr-HR"/>
              </w:rPr>
              <w:t>Oxford</w:t>
            </w:r>
            <w:proofErr w:type="spellEnd"/>
            <w:r>
              <w:rPr>
                <w:lang w:eastAsia="hr-HR"/>
              </w:rPr>
              <w:t>: Elsevier.</w:t>
            </w:r>
          </w:p>
          <w:p w:rsidR="005028FA" w:rsidRDefault="005028FA" w:rsidP="00B6123E">
            <w:pPr>
              <w:numPr>
                <w:ilvl w:val="0"/>
                <w:numId w:val="5"/>
              </w:numPr>
              <w:spacing w:after="0" w:line="240" w:lineRule="auto"/>
            </w:pPr>
            <w:r w:rsidRPr="00AB0E3A">
              <w:t>Carić, Hrvoje (</w:t>
            </w:r>
            <w:proofErr w:type="spellStart"/>
            <w:r w:rsidRPr="00AB0E3A">
              <w:t>ed</w:t>
            </w:r>
            <w:proofErr w:type="spellEnd"/>
            <w:r w:rsidRPr="00AB0E3A">
              <w:t xml:space="preserve">.) (2006): </w:t>
            </w:r>
            <w:r w:rsidRPr="00AB0E3A">
              <w:rPr>
                <w:i/>
                <w:iCs/>
              </w:rPr>
              <w:t xml:space="preserve">Održivi turizam u deset koraka, Planiranje održivog turizma zasnovanog na baštini i prirodnom nasljeđu, Priručnik za upravljanje turističkim regijama, destinacijama i proizvodima, </w:t>
            </w:r>
            <w:r w:rsidRPr="00AB0E3A">
              <w:t>Zagreb: Institut za turizam.</w:t>
            </w:r>
          </w:p>
          <w:p w:rsidR="00B6123E" w:rsidRPr="00B6123E" w:rsidRDefault="00B6123E" w:rsidP="00B6123E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B6123E">
              <w:rPr>
                <w:rFonts w:asciiTheme="minorHAnsi" w:hAnsiTheme="minorHAnsi"/>
                <w:szCs w:val="20"/>
              </w:rPr>
              <w:t>Council</w:t>
            </w:r>
            <w:proofErr w:type="spellEnd"/>
            <w:r w:rsidRPr="00B6123E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B6123E">
              <w:rPr>
                <w:rFonts w:asciiTheme="minorHAnsi" w:hAnsiTheme="minorHAnsi"/>
                <w:szCs w:val="20"/>
              </w:rPr>
              <w:t>of</w:t>
            </w:r>
            <w:proofErr w:type="spellEnd"/>
            <w:r w:rsidRPr="00B6123E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B6123E">
              <w:rPr>
                <w:rFonts w:asciiTheme="minorHAnsi" w:hAnsiTheme="minorHAnsi"/>
                <w:szCs w:val="20"/>
              </w:rPr>
              <w:t>the</w:t>
            </w:r>
            <w:proofErr w:type="spellEnd"/>
            <w:r w:rsidRPr="00B6123E">
              <w:rPr>
                <w:rFonts w:asciiTheme="minorHAnsi" w:hAnsiTheme="minorHAnsi"/>
                <w:szCs w:val="20"/>
              </w:rPr>
              <w:t xml:space="preserve"> EU. </w:t>
            </w:r>
            <w:proofErr w:type="spellStart"/>
            <w:r w:rsidRPr="00B6123E">
              <w:rPr>
                <w:rFonts w:asciiTheme="minorHAnsi" w:hAnsiTheme="minorHAnsi"/>
                <w:i/>
                <w:iCs/>
                <w:szCs w:val="20"/>
              </w:rPr>
              <w:t>Conclusions</w:t>
            </w:r>
            <w:proofErr w:type="spellEnd"/>
            <w:r w:rsidRPr="00B6123E">
              <w:rPr>
                <w:rFonts w:asciiTheme="minorHAnsi" w:hAnsiTheme="minorHAnsi"/>
                <w:i/>
                <w:iCs/>
                <w:szCs w:val="20"/>
              </w:rPr>
              <w:t xml:space="preserve"> on </w:t>
            </w:r>
            <w:proofErr w:type="spellStart"/>
            <w:r w:rsidRPr="00B6123E">
              <w:rPr>
                <w:rFonts w:asciiTheme="minorHAnsi" w:hAnsiTheme="minorHAnsi"/>
                <w:i/>
                <w:iCs/>
                <w:szCs w:val="20"/>
              </w:rPr>
              <w:t>cultural</w:t>
            </w:r>
            <w:proofErr w:type="spellEnd"/>
            <w:r w:rsidRPr="00B6123E">
              <w:rPr>
                <w:rFonts w:asciiTheme="minorHAnsi" w:hAnsiTheme="minorHAnsi"/>
                <w:i/>
                <w:iCs/>
                <w:szCs w:val="20"/>
              </w:rPr>
              <w:t xml:space="preserve"> </w:t>
            </w:r>
            <w:proofErr w:type="spellStart"/>
            <w:r w:rsidRPr="00B6123E">
              <w:rPr>
                <w:rFonts w:asciiTheme="minorHAnsi" w:hAnsiTheme="minorHAnsi"/>
                <w:i/>
                <w:iCs/>
                <w:szCs w:val="20"/>
              </w:rPr>
              <w:t>heritage</w:t>
            </w:r>
            <w:proofErr w:type="spellEnd"/>
            <w:r w:rsidRPr="00B6123E">
              <w:rPr>
                <w:rFonts w:asciiTheme="minorHAnsi" w:hAnsiTheme="minorHAnsi"/>
                <w:i/>
                <w:iCs/>
                <w:szCs w:val="20"/>
              </w:rPr>
              <w:t xml:space="preserve"> as a </w:t>
            </w:r>
            <w:proofErr w:type="spellStart"/>
            <w:r w:rsidRPr="00B6123E">
              <w:rPr>
                <w:rFonts w:asciiTheme="minorHAnsi" w:hAnsiTheme="minorHAnsi"/>
                <w:i/>
                <w:iCs/>
                <w:szCs w:val="20"/>
              </w:rPr>
              <w:t>strategic</w:t>
            </w:r>
            <w:proofErr w:type="spellEnd"/>
            <w:r w:rsidRPr="00B6123E">
              <w:rPr>
                <w:rFonts w:asciiTheme="minorHAnsi" w:hAnsiTheme="minorHAnsi"/>
                <w:i/>
                <w:iCs/>
                <w:szCs w:val="20"/>
              </w:rPr>
              <w:t xml:space="preserve"> </w:t>
            </w:r>
            <w:proofErr w:type="spellStart"/>
            <w:r w:rsidRPr="00B6123E">
              <w:rPr>
                <w:rFonts w:asciiTheme="minorHAnsi" w:hAnsiTheme="minorHAnsi"/>
                <w:i/>
                <w:iCs/>
                <w:szCs w:val="20"/>
              </w:rPr>
              <w:t>resource</w:t>
            </w:r>
            <w:proofErr w:type="spellEnd"/>
            <w:r w:rsidRPr="00B6123E">
              <w:rPr>
                <w:rFonts w:asciiTheme="minorHAnsi" w:hAnsiTheme="minorHAnsi"/>
                <w:i/>
                <w:iCs/>
                <w:szCs w:val="20"/>
              </w:rPr>
              <w:t xml:space="preserve"> for a </w:t>
            </w:r>
            <w:proofErr w:type="spellStart"/>
            <w:r w:rsidRPr="00B6123E">
              <w:rPr>
                <w:rFonts w:asciiTheme="minorHAnsi" w:hAnsiTheme="minorHAnsi"/>
                <w:i/>
                <w:iCs/>
                <w:szCs w:val="20"/>
              </w:rPr>
              <w:t>sustainable</w:t>
            </w:r>
            <w:proofErr w:type="spellEnd"/>
            <w:r w:rsidRPr="00B6123E">
              <w:rPr>
                <w:rFonts w:asciiTheme="minorHAnsi" w:hAnsiTheme="minorHAnsi"/>
                <w:i/>
                <w:iCs/>
                <w:szCs w:val="20"/>
              </w:rPr>
              <w:t xml:space="preserve"> Europe.</w:t>
            </w:r>
            <w:r w:rsidRPr="00B6123E">
              <w:rPr>
                <w:rFonts w:asciiTheme="minorHAnsi" w:hAnsiTheme="minorHAnsi"/>
                <w:szCs w:val="20"/>
              </w:rPr>
              <w:t xml:space="preserve"> 2014. </w:t>
            </w:r>
            <w:r w:rsidRPr="00B6123E">
              <w:rPr>
                <w:rFonts w:asciiTheme="minorHAnsi" w:eastAsia="MS ????" w:hAnsiTheme="minorHAnsi"/>
                <w:szCs w:val="20"/>
              </w:rPr>
              <w:t>http://www.gr2014.eu/sites/default/files/conclusion%20cultural%20heritage.pdf</w:t>
            </w:r>
            <w:r w:rsidRPr="00B6123E">
              <w:rPr>
                <w:rFonts w:asciiTheme="minorHAnsi" w:hAnsiTheme="minorHAnsi"/>
                <w:szCs w:val="20"/>
              </w:rPr>
              <w:t>.</w:t>
            </w:r>
          </w:p>
          <w:p w:rsidR="005028FA" w:rsidRDefault="005028FA" w:rsidP="00B612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AB0E3A">
              <w:t xml:space="preserve">Dragojević, S., Dragičević </w:t>
            </w:r>
            <w:proofErr w:type="spellStart"/>
            <w:r w:rsidRPr="00AB0E3A">
              <w:t>Šešić</w:t>
            </w:r>
            <w:proofErr w:type="spellEnd"/>
            <w:r w:rsidRPr="00AB0E3A">
              <w:t xml:space="preserve">, M. (2008): </w:t>
            </w:r>
            <w:r w:rsidRPr="00AB0E3A">
              <w:rPr>
                <w:i/>
                <w:iCs/>
              </w:rPr>
              <w:t>Menadžment umjetnosti u turbulentnim vremenima</w:t>
            </w:r>
            <w:r w:rsidRPr="00AB0E3A">
              <w:t xml:space="preserve">, Zagreb: </w:t>
            </w:r>
            <w:r>
              <w:t>Naklada J</w:t>
            </w:r>
            <w:r w:rsidRPr="00AB0E3A">
              <w:t xml:space="preserve">esenski i </w:t>
            </w:r>
            <w:proofErr w:type="spellStart"/>
            <w:r w:rsidRPr="00AB0E3A">
              <w:t>Turk</w:t>
            </w:r>
            <w:proofErr w:type="spellEnd"/>
            <w:r w:rsidRPr="00AB0E3A">
              <w:t>.</w:t>
            </w:r>
          </w:p>
          <w:p w:rsidR="005028FA" w:rsidRPr="00B6123E" w:rsidRDefault="005028FA" w:rsidP="00B612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Style w:val="Hyperlink"/>
                <w:color w:val="auto"/>
                <w:u w:val="none"/>
              </w:rPr>
            </w:pPr>
            <w:proofErr w:type="spellStart"/>
            <w:r w:rsidRPr="00FD70A4">
              <w:t>Dumbović</w:t>
            </w:r>
            <w:proofErr w:type="spellEnd"/>
            <w:r w:rsidRPr="00FD70A4">
              <w:t xml:space="preserve"> Bilušić Biserka (2013), </w:t>
            </w:r>
            <w:r w:rsidRPr="00FD70A4">
              <w:rPr>
                <w:i/>
                <w:iCs/>
              </w:rPr>
              <w:t xml:space="preserve">Kulturna baština u Hrvatskoj pred novim izazovima, </w:t>
            </w:r>
            <w:r w:rsidRPr="00FD70A4">
              <w:t xml:space="preserve">časopis </w:t>
            </w:r>
            <w:r w:rsidRPr="00FD70A4">
              <w:rPr>
                <w:color w:val="07141D"/>
              </w:rPr>
              <w:t xml:space="preserve">Kvartal, br. </w:t>
            </w:r>
            <w:r w:rsidRPr="00FD70A4">
              <w:rPr>
                <w:rStyle w:val="Emphasis1"/>
                <w:i w:val="0"/>
                <w:iCs w:val="0"/>
                <w:color w:val="07141D"/>
                <w:sz w:val="22"/>
                <w:szCs w:val="22"/>
              </w:rPr>
              <w:t xml:space="preserve">X-1/2-2013 </w:t>
            </w:r>
            <w:hyperlink r:id="rId5" w:history="1">
              <w:r w:rsidRPr="00FD70A4">
                <w:rPr>
                  <w:rStyle w:val="Hyperlink"/>
                </w:rPr>
                <w:t>http://www.ipu.hr/uploads/documents/2212.pdf</w:t>
              </w:r>
            </w:hyperlink>
          </w:p>
          <w:p w:rsidR="00B6123E" w:rsidRPr="007F2568" w:rsidRDefault="00B6123E" w:rsidP="00B6123E">
            <w:pPr>
              <w:numPr>
                <w:ilvl w:val="0"/>
                <w:numId w:val="5"/>
              </w:numPr>
              <w:spacing w:after="120" w:line="240" w:lineRule="auto"/>
              <w:jc w:val="both"/>
              <w:rPr>
                <w:rStyle w:val="Hyperlink"/>
                <w:rFonts w:asciiTheme="minorHAnsi" w:hAnsiTheme="minorHAnsi"/>
                <w:color w:val="auto"/>
                <w:szCs w:val="20"/>
                <w:u w:val="none"/>
              </w:rPr>
            </w:pPr>
            <w:r w:rsidRPr="00B6123E">
              <w:rPr>
                <w:rFonts w:asciiTheme="minorHAnsi" w:hAnsiTheme="minorHAnsi"/>
                <w:szCs w:val="20"/>
              </w:rPr>
              <w:t xml:space="preserve">Europa </w:t>
            </w:r>
            <w:proofErr w:type="spellStart"/>
            <w:r w:rsidRPr="00B6123E">
              <w:rPr>
                <w:rFonts w:asciiTheme="minorHAnsi" w:hAnsiTheme="minorHAnsi"/>
                <w:szCs w:val="20"/>
              </w:rPr>
              <w:t>Nostra</w:t>
            </w:r>
            <w:proofErr w:type="spellEnd"/>
            <w:r w:rsidRPr="00B6123E">
              <w:rPr>
                <w:rFonts w:asciiTheme="minorHAnsi" w:hAnsiTheme="minorHAnsi"/>
                <w:szCs w:val="20"/>
              </w:rPr>
              <w:t xml:space="preserve">, ENCATC. </w:t>
            </w:r>
            <w:proofErr w:type="spellStart"/>
            <w:r w:rsidRPr="00B6123E">
              <w:rPr>
                <w:rFonts w:asciiTheme="minorHAnsi" w:hAnsiTheme="minorHAnsi"/>
                <w:i/>
                <w:iCs/>
                <w:szCs w:val="20"/>
              </w:rPr>
              <w:t>Cultural</w:t>
            </w:r>
            <w:proofErr w:type="spellEnd"/>
            <w:r w:rsidRPr="00B6123E">
              <w:rPr>
                <w:rFonts w:asciiTheme="minorHAnsi" w:hAnsiTheme="minorHAnsi"/>
                <w:i/>
                <w:iCs/>
                <w:szCs w:val="20"/>
              </w:rPr>
              <w:t xml:space="preserve"> </w:t>
            </w:r>
            <w:proofErr w:type="spellStart"/>
            <w:r w:rsidRPr="00B6123E">
              <w:rPr>
                <w:rFonts w:asciiTheme="minorHAnsi" w:hAnsiTheme="minorHAnsi"/>
                <w:i/>
                <w:iCs/>
                <w:szCs w:val="20"/>
              </w:rPr>
              <w:t>Heritage</w:t>
            </w:r>
            <w:proofErr w:type="spellEnd"/>
            <w:r w:rsidRPr="00B6123E">
              <w:rPr>
                <w:rFonts w:asciiTheme="minorHAnsi" w:hAnsiTheme="minorHAnsi"/>
                <w:i/>
                <w:iCs/>
                <w:szCs w:val="20"/>
              </w:rPr>
              <w:t xml:space="preserve"> </w:t>
            </w:r>
            <w:proofErr w:type="spellStart"/>
            <w:r w:rsidRPr="00B6123E">
              <w:rPr>
                <w:rFonts w:asciiTheme="minorHAnsi" w:hAnsiTheme="minorHAnsi"/>
                <w:i/>
                <w:iCs/>
                <w:szCs w:val="20"/>
              </w:rPr>
              <w:t>Counts</w:t>
            </w:r>
            <w:proofErr w:type="spellEnd"/>
            <w:r w:rsidRPr="00B6123E">
              <w:rPr>
                <w:rFonts w:asciiTheme="minorHAnsi" w:hAnsiTheme="minorHAnsi"/>
                <w:i/>
                <w:iCs/>
                <w:szCs w:val="20"/>
              </w:rPr>
              <w:t xml:space="preserve"> for Europe – </w:t>
            </w:r>
            <w:proofErr w:type="spellStart"/>
            <w:r w:rsidRPr="00B6123E">
              <w:rPr>
                <w:rFonts w:asciiTheme="minorHAnsi" w:hAnsiTheme="minorHAnsi"/>
                <w:i/>
                <w:iCs/>
                <w:szCs w:val="20"/>
              </w:rPr>
              <w:t>Final</w:t>
            </w:r>
            <w:proofErr w:type="spellEnd"/>
            <w:r w:rsidRPr="00B6123E">
              <w:rPr>
                <w:rFonts w:asciiTheme="minorHAnsi" w:hAnsiTheme="minorHAnsi"/>
                <w:i/>
                <w:iCs/>
                <w:szCs w:val="20"/>
              </w:rPr>
              <w:t xml:space="preserve"> </w:t>
            </w:r>
            <w:proofErr w:type="spellStart"/>
            <w:r w:rsidRPr="00B6123E">
              <w:rPr>
                <w:rFonts w:asciiTheme="minorHAnsi" w:hAnsiTheme="minorHAnsi"/>
                <w:i/>
                <w:iCs/>
                <w:szCs w:val="20"/>
              </w:rPr>
              <w:t>Report</w:t>
            </w:r>
            <w:proofErr w:type="spellEnd"/>
            <w:r w:rsidRPr="00B6123E">
              <w:rPr>
                <w:rFonts w:asciiTheme="minorHAnsi" w:hAnsiTheme="minorHAnsi"/>
                <w:szCs w:val="20"/>
              </w:rPr>
              <w:t>. 2015.</w:t>
            </w:r>
            <w:r w:rsidRPr="00B6123E">
              <w:rPr>
                <w:rFonts w:asciiTheme="minorHAnsi" w:hAnsiTheme="minorHAnsi"/>
              </w:rPr>
              <w:t xml:space="preserve"> </w:t>
            </w:r>
            <w:hyperlink r:id="rId6" w:history="1">
              <w:r w:rsidR="003E6FAF" w:rsidRPr="00322343">
                <w:rPr>
                  <w:rStyle w:val="Hyperlink"/>
                  <w:rFonts w:asciiTheme="minorHAnsi" w:hAnsiTheme="minorHAnsi"/>
                  <w:szCs w:val="20"/>
                </w:rPr>
                <w:t>http://www.encatc.org/culturalheritagecountsforeurope/wp-content/uploads/2015/06/CHCfE_FULL-REPORT_v2.pdf</w:t>
              </w:r>
            </w:hyperlink>
          </w:p>
          <w:p w:rsidR="007F2568" w:rsidRPr="007F2568" w:rsidRDefault="003E6FAF" w:rsidP="000D5A03">
            <w:pPr>
              <w:numPr>
                <w:ilvl w:val="0"/>
                <w:numId w:val="5"/>
              </w:numPr>
              <w:spacing w:after="120" w:line="240" w:lineRule="auto"/>
              <w:jc w:val="both"/>
              <w:rPr>
                <w:rStyle w:val="Hyperlink"/>
                <w:color w:val="auto"/>
                <w:u w:val="none"/>
              </w:rPr>
            </w:pPr>
            <w:proofErr w:type="spellStart"/>
            <w:r w:rsidRPr="007F2568">
              <w:rPr>
                <w:rFonts w:asciiTheme="minorHAnsi" w:hAnsiTheme="minorHAnsi"/>
                <w:szCs w:val="20"/>
              </w:rPr>
              <w:t>Galland</w:t>
            </w:r>
            <w:proofErr w:type="spellEnd"/>
            <w:r w:rsidRPr="007F2568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7F2568">
              <w:rPr>
                <w:rFonts w:asciiTheme="minorHAnsi" w:hAnsiTheme="minorHAnsi"/>
                <w:szCs w:val="20"/>
              </w:rPr>
              <w:t>et</w:t>
            </w:r>
            <w:proofErr w:type="spellEnd"/>
            <w:r w:rsidRPr="007F2568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7F2568">
              <w:rPr>
                <w:rFonts w:asciiTheme="minorHAnsi" w:hAnsiTheme="minorHAnsi"/>
                <w:szCs w:val="20"/>
              </w:rPr>
              <w:t>al</w:t>
            </w:r>
            <w:proofErr w:type="spellEnd"/>
            <w:r w:rsidRPr="007F2568">
              <w:rPr>
                <w:rFonts w:asciiTheme="minorHAnsi" w:hAnsiTheme="minorHAnsi"/>
                <w:szCs w:val="20"/>
              </w:rPr>
              <w:t xml:space="preserve">. (2016): </w:t>
            </w:r>
            <w:r w:rsidRPr="007F2568">
              <w:rPr>
                <w:rFonts w:asciiTheme="minorHAnsi" w:hAnsiTheme="minorHAnsi"/>
                <w:i/>
                <w:szCs w:val="20"/>
              </w:rPr>
              <w:t xml:space="preserve">World </w:t>
            </w:r>
            <w:proofErr w:type="spellStart"/>
            <w:r w:rsidRPr="007F2568">
              <w:rPr>
                <w:rFonts w:asciiTheme="minorHAnsi" w:hAnsiTheme="minorHAnsi"/>
                <w:i/>
                <w:szCs w:val="20"/>
              </w:rPr>
              <w:t>Heritage</w:t>
            </w:r>
            <w:proofErr w:type="spellEnd"/>
            <w:r w:rsidRPr="007F2568">
              <w:rPr>
                <w:rFonts w:asciiTheme="minorHAnsi" w:hAnsiTheme="minorHAnsi"/>
                <w:i/>
                <w:szCs w:val="20"/>
              </w:rPr>
              <w:t xml:space="preserve"> </w:t>
            </w:r>
            <w:proofErr w:type="spellStart"/>
            <w:r w:rsidRPr="007F2568">
              <w:rPr>
                <w:rFonts w:asciiTheme="minorHAnsi" w:hAnsiTheme="minorHAnsi"/>
                <w:i/>
                <w:szCs w:val="20"/>
              </w:rPr>
              <w:t>in</w:t>
            </w:r>
            <w:proofErr w:type="spellEnd"/>
            <w:r w:rsidRPr="007F2568">
              <w:rPr>
                <w:rFonts w:asciiTheme="minorHAnsi" w:hAnsiTheme="minorHAnsi"/>
                <w:i/>
                <w:szCs w:val="20"/>
              </w:rPr>
              <w:t xml:space="preserve"> Europe </w:t>
            </w:r>
            <w:proofErr w:type="spellStart"/>
            <w:r w:rsidRPr="007F2568">
              <w:rPr>
                <w:rFonts w:asciiTheme="minorHAnsi" w:hAnsiTheme="minorHAnsi"/>
                <w:i/>
                <w:szCs w:val="20"/>
              </w:rPr>
              <w:t>Today</w:t>
            </w:r>
            <w:proofErr w:type="spellEnd"/>
            <w:r w:rsidRPr="007F2568">
              <w:rPr>
                <w:rFonts w:asciiTheme="minorHAnsi" w:hAnsiTheme="minorHAnsi"/>
                <w:i/>
                <w:szCs w:val="20"/>
              </w:rPr>
              <w:t>.</w:t>
            </w:r>
            <w:r w:rsidRPr="007F2568">
              <w:rPr>
                <w:rFonts w:asciiTheme="minorHAnsi" w:hAnsiTheme="minorHAnsi"/>
                <w:szCs w:val="20"/>
              </w:rPr>
              <w:t xml:space="preserve"> Paris: UNESCO. </w:t>
            </w:r>
            <w:hyperlink r:id="rId7" w:history="1">
              <w:r w:rsidRPr="007F2568">
                <w:rPr>
                  <w:rStyle w:val="Hyperlink"/>
                  <w:rFonts w:asciiTheme="minorHAnsi" w:hAnsiTheme="minorHAnsi"/>
                  <w:szCs w:val="20"/>
                </w:rPr>
                <w:t>http://unesdoc.unesco.org/images/0024/002436/243680e.pdf</w:t>
              </w:r>
            </w:hyperlink>
          </w:p>
          <w:p w:rsidR="005028FA" w:rsidRPr="00B6123E" w:rsidRDefault="005028FA" w:rsidP="000D5A03">
            <w:pPr>
              <w:numPr>
                <w:ilvl w:val="0"/>
                <w:numId w:val="5"/>
              </w:numPr>
              <w:spacing w:after="120" w:line="240" w:lineRule="auto"/>
              <w:jc w:val="both"/>
            </w:pPr>
            <w:proofErr w:type="spellStart"/>
            <w:r w:rsidRPr="007F2568">
              <w:rPr>
                <w:shd w:val="clear" w:color="auto" w:fill="FFFFFF"/>
              </w:rPr>
              <w:t>Hameršak</w:t>
            </w:r>
            <w:proofErr w:type="spellEnd"/>
            <w:r w:rsidRPr="007F2568">
              <w:rPr>
                <w:shd w:val="clear" w:color="auto" w:fill="FFFFFF"/>
              </w:rPr>
              <w:t xml:space="preserve">, Marijana, Pleše Iva, Vukušić, Anamarija (2013): </w:t>
            </w:r>
            <w:r w:rsidRPr="007F2568">
              <w:rPr>
                <w:i/>
                <w:iCs/>
                <w:shd w:val="clear" w:color="auto" w:fill="FFFFFF"/>
              </w:rPr>
              <w:t>Proizvodnja baštine, kritičke studije o nematerijalnoj  kulturi</w:t>
            </w:r>
            <w:r w:rsidRPr="007F2568">
              <w:rPr>
                <w:shd w:val="clear" w:color="auto" w:fill="FFFFFF"/>
              </w:rPr>
              <w:t>, Zagreb: Institut za etnologiju i folkloristiku.</w:t>
            </w:r>
          </w:p>
          <w:p w:rsidR="00B6123E" w:rsidRDefault="00B6123E" w:rsidP="00B6123E">
            <w:pPr>
              <w:numPr>
                <w:ilvl w:val="0"/>
                <w:numId w:val="5"/>
              </w:numPr>
              <w:spacing w:after="0" w:line="240" w:lineRule="auto"/>
            </w:pPr>
            <w:r w:rsidRPr="00AB0E3A">
              <w:t xml:space="preserve">Jelinčić, D.A. (2009) </w:t>
            </w:r>
            <w:r w:rsidRPr="00AB0E3A">
              <w:rPr>
                <w:i/>
                <w:iCs/>
              </w:rPr>
              <w:t>Abeceda kulturnog turizma</w:t>
            </w:r>
            <w:r w:rsidRPr="00AB0E3A">
              <w:t xml:space="preserve">. Zagreb: </w:t>
            </w:r>
            <w:proofErr w:type="spellStart"/>
            <w:r w:rsidRPr="00AB0E3A">
              <w:t>Meandarmedia</w:t>
            </w:r>
            <w:proofErr w:type="spellEnd"/>
            <w:r w:rsidRPr="00AB0E3A">
              <w:t>.</w:t>
            </w:r>
          </w:p>
          <w:p w:rsidR="00B6123E" w:rsidRDefault="00B6123E" w:rsidP="00B6123E">
            <w:pPr>
              <w:numPr>
                <w:ilvl w:val="0"/>
                <w:numId w:val="5"/>
              </w:numPr>
              <w:spacing w:after="0" w:line="240" w:lineRule="auto"/>
            </w:pPr>
            <w:r w:rsidRPr="00AB0E3A">
              <w:t xml:space="preserve">Klarić, V. (2011.) </w:t>
            </w:r>
            <w:r w:rsidRPr="00AB0E3A">
              <w:rPr>
                <w:i/>
                <w:iCs/>
              </w:rPr>
              <w:t>Muzeji i turizam. Djelovanje muzeja kao dionika kulturnog turizma. Priručnik.</w:t>
            </w:r>
            <w:r w:rsidRPr="00AB0E3A">
              <w:t xml:space="preserve"> Zagreb: Muzej suvremene umjetnosti.</w:t>
            </w:r>
          </w:p>
          <w:p w:rsidR="00960B9C" w:rsidRDefault="00960B9C" w:rsidP="00B6123E">
            <w:pPr>
              <w:numPr>
                <w:ilvl w:val="0"/>
                <w:numId w:val="5"/>
              </w:numPr>
              <w:spacing w:after="0" w:line="240" w:lineRule="auto"/>
            </w:pPr>
            <w:proofErr w:type="spellStart"/>
            <w:r>
              <w:t>Landry</w:t>
            </w:r>
            <w:proofErr w:type="spellEnd"/>
            <w:r>
              <w:t xml:space="preserve">, Charles (2000). </w:t>
            </w:r>
            <w:proofErr w:type="spellStart"/>
            <w:r w:rsidRPr="00960B9C">
              <w:rPr>
                <w:i/>
              </w:rPr>
              <w:t>The</w:t>
            </w:r>
            <w:proofErr w:type="spellEnd"/>
            <w:r w:rsidRPr="00960B9C">
              <w:rPr>
                <w:i/>
              </w:rPr>
              <w:t xml:space="preserve"> Creative City</w:t>
            </w:r>
            <w:r>
              <w:t xml:space="preserve">. London: </w:t>
            </w:r>
            <w:proofErr w:type="spellStart"/>
            <w:r>
              <w:t>Earthscan</w:t>
            </w:r>
            <w:proofErr w:type="spellEnd"/>
            <w:r>
              <w:t>.</w:t>
            </w:r>
          </w:p>
          <w:p w:rsidR="00960B9C" w:rsidRDefault="00D123FE" w:rsidP="00B6123E">
            <w:pPr>
              <w:numPr>
                <w:ilvl w:val="0"/>
                <w:numId w:val="5"/>
              </w:numPr>
              <w:spacing w:after="0" w:line="240" w:lineRule="auto"/>
            </w:pPr>
            <w:proofErr w:type="spellStart"/>
            <w:r>
              <w:t>Landry</w:t>
            </w:r>
            <w:proofErr w:type="spellEnd"/>
            <w:r>
              <w:t>, Char</w:t>
            </w:r>
            <w:r w:rsidR="00960B9C">
              <w:t xml:space="preserve">les (2006). </w:t>
            </w:r>
            <w:proofErr w:type="spellStart"/>
            <w:r w:rsidR="00960B9C" w:rsidRPr="00960B9C">
              <w:rPr>
                <w:i/>
              </w:rPr>
              <w:t>The</w:t>
            </w:r>
            <w:proofErr w:type="spellEnd"/>
            <w:r w:rsidR="00960B9C" w:rsidRPr="00960B9C">
              <w:rPr>
                <w:i/>
              </w:rPr>
              <w:t xml:space="preserve"> Art </w:t>
            </w:r>
            <w:proofErr w:type="spellStart"/>
            <w:r w:rsidR="00960B9C" w:rsidRPr="00960B9C">
              <w:rPr>
                <w:i/>
              </w:rPr>
              <w:t>of</w:t>
            </w:r>
            <w:proofErr w:type="spellEnd"/>
            <w:r w:rsidR="00960B9C" w:rsidRPr="00960B9C">
              <w:rPr>
                <w:i/>
              </w:rPr>
              <w:t xml:space="preserve"> City </w:t>
            </w:r>
            <w:proofErr w:type="spellStart"/>
            <w:r w:rsidR="00960B9C" w:rsidRPr="00960B9C">
              <w:rPr>
                <w:i/>
              </w:rPr>
              <w:t>Making</w:t>
            </w:r>
            <w:proofErr w:type="spellEnd"/>
            <w:r w:rsidR="00960B9C" w:rsidRPr="00960B9C">
              <w:rPr>
                <w:i/>
              </w:rPr>
              <w:t>.</w:t>
            </w:r>
            <w:r w:rsidR="00960B9C">
              <w:t xml:space="preserve"> London: </w:t>
            </w:r>
            <w:proofErr w:type="spellStart"/>
            <w:r w:rsidR="00960B9C">
              <w:t>Earthscan</w:t>
            </w:r>
            <w:proofErr w:type="spellEnd"/>
            <w:r w:rsidR="00960B9C">
              <w:t>.</w:t>
            </w:r>
          </w:p>
          <w:p w:rsidR="00175137" w:rsidRDefault="00175137" w:rsidP="00272E2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175137">
              <w:rPr>
                <w:rFonts w:asciiTheme="minorHAnsi" w:hAnsiTheme="minorHAnsi" w:cstheme="minorHAnsi"/>
                <w:lang w:eastAsia="hr-HR"/>
              </w:rPr>
              <w:t>Licciardi</w:t>
            </w:r>
            <w:proofErr w:type="spellEnd"/>
            <w:r w:rsidRPr="00175137">
              <w:rPr>
                <w:rFonts w:asciiTheme="minorHAnsi" w:hAnsiTheme="minorHAnsi" w:cstheme="minorHAnsi"/>
                <w:lang w:eastAsia="hr-HR"/>
              </w:rPr>
              <w:t xml:space="preserve">, G. &amp; </w:t>
            </w:r>
            <w:proofErr w:type="spellStart"/>
            <w:r w:rsidRPr="00175137">
              <w:rPr>
                <w:rFonts w:asciiTheme="minorHAnsi" w:hAnsiTheme="minorHAnsi" w:cstheme="minorHAnsi"/>
                <w:lang w:eastAsia="hr-HR"/>
              </w:rPr>
              <w:t>Amirtahmasebi</w:t>
            </w:r>
            <w:proofErr w:type="spellEnd"/>
            <w:r w:rsidRPr="00175137">
              <w:rPr>
                <w:rFonts w:asciiTheme="minorHAnsi" w:hAnsiTheme="minorHAnsi" w:cstheme="minorHAnsi"/>
                <w:lang w:eastAsia="hr-HR"/>
              </w:rPr>
              <w:t>, R. (</w:t>
            </w:r>
            <w:proofErr w:type="spellStart"/>
            <w:r w:rsidRPr="00175137">
              <w:rPr>
                <w:rFonts w:asciiTheme="minorHAnsi" w:hAnsiTheme="minorHAnsi" w:cstheme="minorHAnsi"/>
                <w:lang w:eastAsia="hr-HR"/>
              </w:rPr>
              <w:t>eds</w:t>
            </w:r>
            <w:proofErr w:type="spellEnd"/>
            <w:r w:rsidRPr="00175137">
              <w:rPr>
                <w:rFonts w:asciiTheme="minorHAnsi" w:hAnsiTheme="minorHAnsi" w:cstheme="minorHAnsi"/>
                <w:lang w:eastAsia="hr-HR"/>
              </w:rPr>
              <w:t xml:space="preserve">.) (2012). </w:t>
            </w:r>
            <w:proofErr w:type="spellStart"/>
            <w:r w:rsidRPr="00175137">
              <w:rPr>
                <w:rFonts w:asciiTheme="minorHAnsi" w:hAnsiTheme="minorHAnsi" w:cstheme="minorHAnsi"/>
                <w:i/>
                <w:iCs/>
                <w:lang w:eastAsia="hr-HR"/>
              </w:rPr>
              <w:t>The</w:t>
            </w:r>
            <w:proofErr w:type="spellEnd"/>
            <w:r w:rsidRPr="00175137">
              <w:rPr>
                <w:rFonts w:asciiTheme="minorHAnsi" w:hAnsiTheme="minorHAnsi" w:cstheme="minorHAnsi"/>
                <w:i/>
                <w:iCs/>
                <w:lang w:eastAsia="hr-HR"/>
              </w:rPr>
              <w:t xml:space="preserve"> </w:t>
            </w:r>
            <w:proofErr w:type="spellStart"/>
            <w:r w:rsidRPr="00175137">
              <w:rPr>
                <w:rFonts w:asciiTheme="minorHAnsi" w:hAnsiTheme="minorHAnsi" w:cstheme="minorHAnsi"/>
                <w:i/>
                <w:iCs/>
                <w:lang w:eastAsia="hr-HR"/>
              </w:rPr>
              <w:t>Economics</w:t>
            </w:r>
            <w:proofErr w:type="spellEnd"/>
            <w:r w:rsidRPr="00175137">
              <w:rPr>
                <w:rFonts w:asciiTheme="minorHAnsi" w:hAnsiTheme="minorHAnsi" w:cstheme="minorHAnsi"/>
                <w:i/>
                <w:iCs/>
                <w:lang w:eastAsia="hr-HR"/>
              </w:rPr>
              <w:t xml:space="preserve"> </w:t>
            </w:r>
            <w:proofErr w:type="spellStart"/>
            <w:r w:rsidRPr="00175137">
              <w:rPr>
                <w:rFonts w:asciiTheme="minorHAnsi" w:hAnsiTheme="minorHAnsi" w:cstheme="minorHAnsi"/>
                <w:i/>
                <w:iCs/>
                <w:lang w:eastAsia="hr-HR"/>
              </w:rPr>
              <w:t>of</w:t>
            </w:r>
            <w:proofErr w:type="spellEnd"/>
            <w:r w:rsidRPr="00175137">
              <w:rPr>
                <w:rFonts w:asciiTheme="minorHAnsi" w:hAnsiTheme="minorHAnsi" w:cstheme="minorHAnsi"/>
                <w:i/>
                <w:iCs/>
                <w:lang w:eastAsia="hr-HR"/>
              </w:rPr>
              <w:t xml:space="preserve"> </w:t>
            </w:r>
            <w:proofErr w:type="spellStart"/>
            <w:r w:rsidRPr="00175137">
              <w:rPr>
                <w:rFonts w:asciiTheme="minorHAnsi" w:hAnsiTheme="minorHAnsi" w:cstheme="minorHAnsi"/>
                <w:i/>
                <w:iCs/>
                <w:lang w:eastAsia="hr-HR"/>
              </w:rPr>
              <w:t>Uniqueness</w:t>
            </w:r>
            <w:proofErr w:type="spellEnd"/>
            <w:r w:rsidRPr="00175137">
              <w:rPr>
                <w:rFonts w:asciiTheme="minorHAnsi" w:hAnsiTheme="minorHAnsi" w:cstheme="minorHAnsi"/>
                <w:i/>
                <w:iCs/>
                <w:lang w:eastAsia="hr-HR"/>
              </w:rPr>
              <w:t xml:space="preserve">: </w:t>
            </w:r>
            <w:proofErr w:type="spellStart"/>
            <w:r w:rsidRPr="00175137">
              <w:rPr>
                <w:rFonts w:asciiTheme="minorHAnsi" w:hAnsiTheme="minorHAnsi" w:cstheme="minorHAnsi"/>
                <w:i/>
                <w:iCs/>
                <w:lang w:eastAsia="hr-HR"/>
              </w:rPr>
              <w:t>Investing</w:t>
            </w:r>
            <w:proofErr w:type="spellEnd"/>
            <w:r w:rsidRPr="00175137">
              <w:rPr>
                <w:rFonts w:asciiTheme="minorHAnsi" w:hAnsiTheme="minorHAnsi" w:cstheme="minorHAnsi"/>
                <w:i/>
                <w:iCs/>
                <w:lang w:eastAsia="hr-HR"/>
              </w:rPr>
              <w:t xml:space="preserve"> </w:t>
            </w:r>
            <w:proofErr w:type="spellStart"/>
            <w:r w:rsidRPr="00175137">
              <w:rPr>
                <w:rFonts w:asciiTheme="minorHAnsi" w:hAnsiTheme="minorHAnsi" w:cstheme="minorHAnsi"/>
                <w:i/>
                <w:iCs/>
                <w:lang w:eastAsia="hr-HR"/>
              </w:rPr>
              <w:t>in</w:t>
            </w:r>
            <w:proofErr w:type="spellEnd"/>
            <w:r w:rsidRPr="00175137">
              <w:rPr>
                <w:rFonts w:asciiTheme="minorHAnsi" w:hAnsiTheme="minorHAnsi" w:cstheme="minorHAnsi"/>
                <w:i/>
                <w:iCs/>
                <w:lang w:eastAsia="hr-HR"/>
              </w:rPr>
              <w:t xml:space="preserve"> </w:t>
            </w:r>
            <w:proofErr w:type="spellStart"/>
            <w:r w:rsidRPr="00175137">
              <w:rPr>
                <w:rFonts w:asciiTheme="minorHAnsi" w:hAnsiTheme="minorHAnsi" w:cstheme="minorHAnsi"/>
                <w:i/>
                <w:iCs/>
                <w:lang w:eastAsia="hr-HR"/>
              </w:rPr>
              <w:t>Historic</w:t>
            </w:r>
            <w:proofErr w:type="spellEnd"/>
            <w:r w:rsidRPr="00175137">
              <w:rPr>
                <w:rFonts w:asciiTheme="minorHAnsi" w:hAnsiTheme="minorHAnsi" w:cstheme="minorHAnsi"/>
                <w:i/>
                <w:iCs/>
                <w:lang w:eastAsia="hr-HR"/>
              </w:rPr>
              <w:t xml:space="preserve"> City </w:t>
            </w:r>
            <w:proofErr w:type="spellStart"/>
            <w:r w:rsidRPr="00175137">
              <w:rPr>
                <w:rFonts w:asciiTheme="minorHAnsi" w:hAnsiTheme="minorHAnsi" w:cstheme="minorHAnsi"/>
                <w:i/>
                <w:iCs/>
                <w:lang w:eastAsia="hr-HR"/>
              </w:rPr>
              <w:t>Cores</w:t>
            </w:r>
            <w:proofErr w:type="spellEnd"/>
            <w:r w:rsidRPr="00175137">
              <w:rPr>
                <w:rFonts w:asciiTheme="minorHAnsi" w:hAnsiTheme="minorHAnsi" w:cstheme="minorHAnsi"/>
                <w:i/>
                <w:iCs/>
                <w:lang w:eastAsia="hr-HR"/>
              </w:rPr>
              <w:t xml:space="preserve"> </w:t>
            </w:r>
            <w:proofErr w:type="spellStart"/>
            <w:r w:rsidRPr="00175137">
              <w:rPr>
                <w:rFonts w:asciiTheme="minorHAnsi" w:hAnsiTheme="minorHAnsi" w:cstheme="minorHAnsi"/>
                <w:i/>
                <w:iCs/>
                <w:lang w:eastAsia="hr-HR"/>
              </w:rPr>
              <w:t>and</w:t>
            </w:r>
            <w:proofErr w:type="spellEnd"/>
            <w:r w:rsidRPr="00175137">
              <w:rPr>
                <w:rFonts w:asciiTheme="minorHAnsi" w:hAnsiTheme="minorHAnsi" w:cstheme="minorHAnsi"/>
                <w:i/>
                <w:iCs/>
                <w:lang w:eastAsia="hr-HR"/>
              </w:rPr>
              <w:t xml:space="preserve"> </w:t>
            </w:r>
            <w:proofErr w:type="spellStart"/>
            <w:r w:rsidRPr="00175137">
              <w:rPr>
                <w:rFonts w:asciiTheme="minorHAnsi" w:hAnsiTheme="minorHAnsi" w:cstheme="minorHAnsi"/>
                <w:i/>
                <w:iCs/>
                <w:lang w:eastAsia="hr-HR"/>
              </w:rPr>
              <w:t>Cultural</w:t>
            </w:r>
            <w:proofErr w:type="spellEnd"/>
            <w:r w:rsidRPr="00175137">
              <w:rPr>
                <w:rFonts w:asciiTheme="minorHAnsi" w:hAnsiTheme="minorHAnsi" w:cstheme="minorHAnsi"/>
                <w:i/>
                <w:iCs/>
                <w:lang w:eastAsia="hr-HR"/>
              </w:rPr>
              <w:t xml:space="preserve"> </w:t>
            </w:r>
            <w:proofErr w:type="spellStart"/>
            <w:r w:rsidRPr="00175137">
              <w:rPr>
                <w:rFonts w:asciiTheme="minorHAnsi" w:hAnsiTheme="minorHAnsi" w:cstheme="minorHAnsi"/>
                <w:i/>
                <w:iCs/>
                <w:lang w:eastAsia="hr-HR"/>
              </w:rPr>
              <w:t>Heritage</w:t>
            </w:r>
            <w:proofErr w:type="spellEnd"/>
            <w:r w:rsidRPr="00175137">
              <w:rPr>
                <w:rFonts w:asciiTheme="minorHAnsi" w:hAnsiTheme="minorHAnsi" w:cstheme="minorHAnsi"/>
                <w:i/>
                <w:iCs/>
                <w:lang w:eastAsia="hr-HR"/>
              </w:rPr>
              <w:t xml:space="preserve"> </w:t>
            </w:r>
            <w:proofErr w:type="spellStart"/>
            <w:r w:rsidRPr="00175137">
              <w:rPr>
                <w:rFonts w:asciiTheme="minorHAnsi" w:hAnsiTheme="minorHAnsi" w:cstheme="minorHAnsi"/>
                <w:i/>
                <w:iCs/>
                <w:lang w:eastAsia="hr-HR"/>
              </w:rPr>
              <w:t>Assets</w:t>
            </w:r>
            <w:proofErr w:type="spellEnd"/>
            <w:r w:rsidRPr="00175137">
              <w:rPr>
                <w:rFonts w:asciiTheme="minorHAnsi" w:hAnsiTheme="minorHAnsi" w:cstheme="minorHAnsi"/>
                <w:i/>
                <w:iCs/>
                <w:lang w:eastAsia="hr-HR"/>
              </w:rPr>
              <w:t xml:space="preserve"> for </w:t>
            </w:r>
            <w:proofErr w:type="spellStart"/>
            <w:r w:rsidRPr="00175137">
              <w:rPr>
                <w:rFonts w:asciiTheme="minorHAnsi" w:hAnsiTheme="minorHAnsi" w:cstheme="minorHAnsi"/>
                <w:i/>
                <w:iCs/>
                <w:lang w:eastAsia="hr-HR"/>
              </w:rPr>
              <w:t>Sustainable</w:t>
            </w:r>
            <w:proofErr w:type="spellEnd"/>
            <w:r w:rsidRPr="00175137">
              <w:rPr>
                <w:rFonts w:asciiTheme="minorHAnsi" w:hAnsiTheme="minorHAnsi" w:cstheme="minorHAnsi"/>
                <w:i/>
                <w:iCs/>
                <w:lang w:eastAsia="hr-HR"/>
              </w:rPr>
              <w:t xml:space="preserve"> Development. </w:t>
            </w:r>
            <w:r w:rsidRPr="00175137">
              <w:rPr>
                <w:rFonts w:asciiTheme="minorHAnsi" w:hAnsiTheme="minorHAnsi" w:cstheme="minorHAnsi"/>
                <w:lang w:eastAsia="hr-HR"/>
              </w:rPr>
              <w:t xml:space="preserve">World Bank </w:t>
            </w:r>
            <w:proofErr w:type="spellStart"/>
            <w:r w:rsidRPr="00175137">
              <w:rPr>
                <w:rFonts w:asciiTheme="minorHAnsi" w:hAnsiTheme="minorHAnsi" w:cstheme="minorHAnsi"/>
                <w:lang w:eastAsia="hr-HR"/>
              </w:rPr>
              <w:t>Publications</w:t>
            </w:r>
            <w:proofErr w:type="spellEnd"/>
            <w:r w:rsidRPr="00175137">
              <w:rPr>
                <w:rFonts w:asciiTheme="minorHAnsi" w:hAnsiTheme="minorHAnsi" w:cstheme="minorHAnsi"/>
                <w:lang w:eastAsia="hr-HR"/>
              </w:rPr>
              <w:t>.</w:t>
            </w:r>
          </w:p>
          <w:p w:rsidR="007553AF" w:rsidRPr="00175137" w:rsidRDefault="007553AF" w:rsidP="0021370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hyperlink r:id="rId8" w:history="1">
              <w:r w:rsidRPr="000863DF">
                <w:rPr>
                  <w:rStyle w:val="Hyperlink"/>
                  <w:rFonts w:asciiTheme="minorHAnsi" w:hAnsiTheme="minorHAnsi" w:cstheme="minorHAnsi"/>
                </w:rPr>
                <w:t>http://siteresources.worldbank.org/EXTSDNET/Resources/Economics_of_Uniqueness.pdf</w:t>
              </w:r>
            </w:hyperlink>
          </w:p>
          <w:p w:rsidR="00B6123E" w:rsidRPr="00B6123E" w:rsidRDefault="00B6123E" w:rsidP="00B6123E">
            <w:pPr>
              <w:numPr>
                <w:ilvl w:val="0"/>
                <w:numId w:val="5"/>
              </w:numPr>
              <w:spacing w:after="0" w:line="240" w:lineRule="auto"/>
            </w:pPr>
            <w:r w:rsidRPr="00AB0E3A">
              <w:rPr>
                <w:lang w:val="hr-BA"/>
              </w:rPr>
              <w:t>Marasović, T.</w:t>
            </w:r>
            <w:r w:rsidR="00D123FE">
              <w:rPr>
                <w:lang w:val="hr-BA"/>
              </w:rPr>
              <w:t xml:space="preserve"> (</w:t>
            </w:r>
            <w:r w:rsidRPr="00AB0E3A">
              <w:rPr>
                <w:lang w:val="hr-BA"/>
              </w:rPr>
              <w:t>2002</w:t>
            </w:r>
            <w:r w:rsidR="00D123FE">
              <w:rPr>
                <w:lang w:val="hr-BA"/>
              </w:rPr>
              <w:t>)</w:t>
            </w:r>
            <w:r w:rsidRPr="00AB0E3A">
              <w:rPr>
                <w:lang w:val="hr-BA"/>
              </w:rPr>
              <w:t xml:space="preserve">: </w:t>
            </w:r>
            <w:r w:rsidRPr="00AB0E3A">
              <w:rPr>
                <w:i/>
                <w:iCs/>
                <w:lang w:val="hr-BA"/>
              </w:rPr>
              <w:t xml:space="preserve">Kulturna baština, </w:t>
            </w:r>
            <w:r w:rsidRPr="00AB0E3A">
              <w:rPr>
                <w:lang w:val="hr-BA"/>
              </w:rPr>
              <w:t>Split: Veleučilište u Splitu, Graf-</w:t>
            </w:r>
            <w:proofErr w:type="spellStart"/>
            <w:r w:rsidRPr="00AB0E3A">
              <w:rPr>
                <w:lang w:val="hr-BA"/>
              </w:rPr>
              <w:t>Form</w:t>
            </w:r>
            <w:proofErr w:type="spellEnd"/>
            <w:r w:rsidRPr="00AB0E3A">
              <w:rPr>
                <w:lang w:val="hr-BA"/>
              </w:rPr>
              <w:t>.</w:t>
            </w:r>
          </w:p>
          <w:p w:rsidR="00B6123E" w:rsidRPr="00AB0E3A" w:rsidRDefault="00B6123E" w:rsidP="00B6123E">
            <w:pPr>
              <w:numPr>
                <w:ilvl w:val="0"/>
                <w:numId w:val="5"/>
              </w:numPr>
              <w:spacing w:after="0" w:line="240" w:lineRule="auto"/>
            </w:pPr>
            <w:proofErr w:type="spellStart"/>
            <w:r w:rsidRPr="00AB0E3A">
              <w:lastRenderedPageBreak/>
              <w:t>Maroević</w:t>
            </w:r>
            <w:proofErr w:type="spellEnd"/>
            <w:r w:rsidRPr="00AB0E3A">
              <w:t xml:space="preserve">, I. (1986): </w:t>
            </w:r>
            <w:r w:rsidRPr="00AB0E3A">
              <w:rPr>
                <w:i/>
                <w:iCs/>
              </w:rPr>
              <w:t>Sadašnjost baštine</w:t>
            </w:r>
            <w:r w:rsidRPr="00AB0E3A">
              <w:t xml:space="preserve">, </w:t>
            </w:r>
            <w:r>
              <w:t>Zagreb: Društvo konzervatora Hrvatske</w:t>
            </w:r>
            <w:r w:rsidRPr="00AB0E3A">
              <w:t>.</w:t>
            </w:r>
          </w:p>
          <w:p w:rsidR="00D25D89" w:rsidRDefault="00D25D89" w:rsidP="00B6123E">
            <w:pPr>
              <w:numPr>
                <w:ilvl w:val="0"/>
                <w:numId w:val="5"/>
              </w:numPr>
              <w:spacing w:after="0" w:line="240" w:lineRule="auto"/>
              <w:rPr>
                <w:shd w:val="clear" w:color="auto" w:fill="FFFFFF"/>
                <w:lang w:eastAsia="hr-HR"/>
              </w:rPr>
            </w:pPr>
            <w:proofErr w:type="spellStart"/>
            <w:r>
              <w:t>M</w:t>
            </w:r>
            <w:r w:rsidRPr="009709D1">
              <w:rPr>
                <w:lang w:eastAsia="hr-HR"/>
              </w:rPr>
              <w:t>cKercher</w:t>
            </w:r>
            <w:proofErr w:type="spellEnd"/>
            <w:r w:rsidRPr="009709D1">
              <w:rPr>
                <w:lang w:eastAsia="hr-HR"/>
              </w:rPr>
              <w:t xml:space="preserve">, B., </w:t>
            </w:r>
            <w:proofErr w:type="spellStart"/>
            <w:r w:rsidRPr="009709D1">
              <w:rPr>
                <w:lang w:eastAsia="hr-HR"/>
              </w:rPr>
              <w:t>Hilary</w:t>
            </w:r>
            <w:proofErr w:type="spellEnd"/>
            <w:r w:rsidRPr="009709D1">
              <w:rPr>
                <w:lang w:eastAsia="hr-HR"/>
              </w:rPr>
              <w:t xml:space="preserve"> </w:t>
            </w:r>
            <w:proofErr w:type="spellStart"/>
            <w:r w:rsidRPr="009709D1">
              <w:rPr>
                <w:lang w:eastAsia="hr-HR"/>
              </w:rPr>
              <w:t>du</w:t>
            </w:r>
            <w:proofErr w:type="spellEnd"/>
            <w:r w:rsidRPr="009709D1">
              <w:rPr>
                <w:lang w:eastAsia="hr-HR"/>
              </w:rPr>
              <w:t xml:space="preserve"> </w:t>
            </w:r>
            <w:proofErr w:type="spellStart"/>
            <w:r w:rsidRPr="009709D1">
              <w:rPr>
                <w:lang w:eastAsia="hr-HR"/>
              </w:rPr>
              <w:t>Cros</w:t>
            </w:r>
            <w:proofErr w:type="spellEnd"/>
            <w:r w:rsidRPr="009709D1">
              <w:rPr>
                <w:lang w:eastAsia="hr-HR"/>
              </w:rPr>
              <w:t>, H.</w:t>
            </w:r>
            <w:r>
              <w:rPr>
                <w:lang w:eastAsia="hr-HR"/>
              </w:rPr>
              <w:t xml:space="preserve"> (2009)</w:t>
            </w:r>
            <w:r w:rsidRPr="009709D1">
              <w:rPr>
                <w:lang w:eastAsia="hr-HR"/>
              </w:rPr>
              <w:t xml:space="preserve">: </w:t>
            </w:r>
            <w:proofErr w:type="spellStart"/>
            <w:r w:rsidRPr="004C3602">
              <w:rPr>
                <w:i/>
                <w:iCs/>
                <w:shd w:val="clear" w:color="auto" w:fill="FFFFFF"/>
                <w:lang w:eastAsia="hr-HR"/>
              </w:rPr>
              <w:t>Cultural</w:t>
            </w:r>
            <w:proofErr w:type="spellEnd"/>
            <w:r w:rsidRPr="004C3602">
              <w:rPr>
                <w:i/>
                <w:iCs/>
                <w:shd w:val="clear" w:color="auto" w:fill="FFFFFF"/>
                <w:lang w:eastAsia="hr-HR"/>
              </w:rPr>
              <w:t xml:space="preserve"> </w:t>
            </w:r>
            <w:proofErr w:type="spellStart"/>
            <w:r w:rsidRPr="004C3602">
              <w:rPr>
                <w:i/>
                <w:iCs/>
                <w:shd w:val="clear" w:color="auto" w:fill="FFFFFF"/>
                <w:lang w:eastAsia="hr-HR"/>
              </w:rPr>
              <w:t>Tourism</w:t>
            </w:r>
            <w:proofErr w:type="spellEnd"/>
            <w:r w:rsidRPr="004C3602">
              <w:rPr>
                <w:i/>
                <w:iCs/>
                <w:shd w:val="clear" w:color="auto" w:fill="FFFFFF"/>
                <w:lang w:eastAsia="hr-HR"/>
              </w:rPr>
              <w:t xml:space="preserve">. </w:t>
            </w:r>
            <w:proofErr w:type="spellStart"/>
            <w:r w:rsidRPr="004C3602">
              <w:rPr>
                <w:i/>
                <w:iCs/>
                <w:shd w:val="clear" w:color="auto" w:fill="FFFFFF"/>
                <w:lang w:eastAsia="hr-HR"/>
              </w:rPr>
              <w:t>The</w:t>
            </w:r>
            <w:proofErr w:type="spellEnd"/>
            <w:r w:rsidRPr="004C3602">
              <w:rPr>
                <w:i/>
                <w:iCs/>
                <w:shd w:val="clear" w:color="auto" w:fill="FFFFFF"/>
                <w:lang w:eastAsia="hr-HR"/>
              </w:rPr>
              <w:t xml:space="preserve"> </w:t>
            </w:r>
            <w:proofErr w:type="spellStart"/>
            <w:r w:rsidRPr="004C3602">
              <w:rPr>
                <w:i/>
                <w:iCs/>
                <w:shd w:val="clear" w:color="auto" w:fill="FFFFFF"/>
                <w:lang w:eastAsia="hr-HR"/>
              </w:rPr>
              <w:t>Partnership</w:t>
            </w:r>
            <w:proofErr w:type="spellEnd"/>
            <w:r w:rsidRPr="004C3602">
              <w:rPr>
                <w:i/>
                <w:iCs/>
                <w:shd w:val="clear" w:color="auto" w:fill="FFFFFF"/>
                <w:lang w:eastAsia="hr-HR"/>
              </w:rPr>
              <w:t xml:space="preserve"> </w:t>
            </w:r>
            <w:proofErr w:type="spellStart"/>
            <w:r w:rsidRPr="004C3602">
              <w:rPr>
                <w:i/>
                <w:iCs/>
                <w:shd w:val="clear" w:color="auto" w:fill="FFFFFF"/>
                <w:lang w:eastAsia="hr-HR"/>
              </w:rPr>
              <w:t>Between</w:t>
            </w:r>
            <w:proofErr w:type="spellEnd"/>
            <w:r w:rsidRPr="004C3602">
              <w:rPr>
                <w:i/>
                <w:iCs/>
                <w:shd w:val="clear" w:color="auto" w:fill="FFFFFF"/>
                <w:lang w:eastAsia="hr-HR"/>
              </w:rPr>
              <w:t xml:space="preserve"> </w:t>
            </w:r>
            <w:proofErr w:type="spellStart"/>
            <w:r w:rsidRPr="004C3602">
              <w:rPr>
                <w:i/>
                <w:iCs/>
                <w:shd w:val="clear" w:color="auto" w:fill="FFFFFF"/>
                <w:lang w:eastAsia="hr-HR"/>
              </w:rPr>
              <w:t>Tourism</w:t>
            </w:r>
            <w:proofErr w:type="spellEnd"/>
            <w:r w:rsidRPr="004C3602">
              <w:rPr>
                <w:i/>
                <w:iCs/>
                <w:shd w:val="clear" w:color="auto" w:fill="FFFFFF"/>
                <w:lang w:eastAsia="hr-HR"/>
              </w:rPr>
              <w:t xml:space="preserve"> </w:t>
            </w:r>
            <w:proofErr w:type="spellStart"/>
            <w:r w:rsidRPr="004C3602">
              <w:rPr>
                <w:i/>
                <w:iCs/>
                <w:shd w:val="clear" w:color="auto" w:fill="FFFFFF"/>
                <w:lang w:eastAsia="hr-HR"/>
              </w:rPr>
              <w:t>and</w:t>
            </w:r>
            <w:proofErr w:type="spellEnd"/>
            <w:r w:rsidRPr="004C3602">
              <w:rPr>
                <w:i/>
                <w:iCs/>
                <w:shd w:val="clear" w:color="auto" w:fill="FFFFFF"/>
                <w:lang w:eastAsia="hr-HR"/>
              </w:rPr>
              <w:t xml:space="preserve"> </w:t>
            </w:r>
            <w:proofErr w:type="spellStart"/>
            <w:r w:rsidRPr="004C3602">
              <w:rPr>
                <w:i/>
                <w:iCs/>
                <w:shd w:val="clear" w:color="auto" w:fill="FFFFFF"/>
                <w:lang w:eastAsia="hr-HR"/>
              </w:rPr>
              <w:t>Cultural</w:t>
            </w:r>
            <w:proofErr w:type="spellEnd"/>
            <w:r w:rsidRPr="004C3602">
              <w:rPr>
                <w:i/>
                <w:iCs/>
                <w:shd w:val="clear" w:color="auto" w:fill="FFFFFF"/>
                <w:lang w:eastAsia="hr-HR"/>
              </w:rPr>
              <w:t xml:space="preserve"> </w:t>
            </w:r>
            <w:proofErr w:type="spellStart"/>
            <w:r w:rsidRPr="004C3602">
              <w:rPr>
                <w:i/>
                <w:iCs/>
                <w:shd w:val="clear" w:color="auto" w:fill="FFFFFF"/>
                <w:lang w:eastAsia="hr-HR"/>
              </w:rPr>
              <w:t>Heritage</w:t>
            </w:r>
            <w:proofErr w:type="spellEnd"/>
            <w:r w:rsidRPr="004C3602">
              <w:rPr>
                <w:i/>
                <w:iCs/>
                <w:shd w:val="clear" w:color="auto" w:fill="FFFFFF"/>
                <w:lang w:eastAsia="hr-HR"/>
              </w:rPr>
              <w:t xml:space="preserve"> Management</w:t>
            </w:r>
            <w:r w:rsidRPr="009709D1">
              <w:rPr>
                <w:shd w:val="clear" w:color="auto" w:fill="FFFFFF"/>
                <w:lang w:eastAsia="hr-HR"/>
              </w:rPr>
              <w:t xml:space="preserve">, </w:t>
            </w:r>
            <w:r>
              <w:rPr>
                <w:shd w:val="clear" w:color="auto" w:fill="FFFFFF"/>
                <w:lang w:eastAsia="hr-HR"/>
              </w:rPr>
              <w:t xml:space="preserve">New York, London: </w:t>
            </w:r>
            <w:proofErr w:type="spellStart"/>
            <w:r>
              <w:rPr>
                <w:shd w:val="clear" w:color="auto" w:fill="FFFFFF"/>
                <w:lang w:eastAsia="hr-HR"/>
              </w:rPr>
              <w:t>Routledge</w:t>
            </w:r>
            <w:proofErr w:type="spellEnd"/>
            <w:r>
              <w:rPr>
                <w:shd w:val="clear" w:color="auto" w:fill="FFFFFF"/>
                <w:lang w:eastAsia="hr-HR"/>
              </w:rPr>
              <w:t>.</w:t>
            </w:r>
          </w:p>
          <w:p w:rsidR="00B6123E" w:rsidRPr="00AB0E3A" w:rsidRDefault="00B6123E" w:rsidP="00B6123E">
            <w:pPr>
              <w:numPr>
                <w:ilvl w:val="0"/>
                <w:numId w:val="5"/>
              </w:numPr>
              <w:spacing w:after="0" w:line="240" w:lineRule="auto"/>
            </w:pPr>
            <w:proofErr w:type="spellStart"/>
            <w:r w:rsidRPr="00AB0E3A">
              <w:rPr>
                <w:spacing w:val="-2"/>
                <w:lang w:val="en-GB" w:eastAsia="de-DE"/>
              </w:rPr>
              <w:t>Mihelić</w:t>
            </w:r>
            <w:proofErr w:type="spellEnd"/>
            <w:r w:rsidRPr="00AB0E3A">
              <w:rPr>
                <w:spacing w:val="-2"/>
                <w:lang w:val="en-GB" w:eastAsia="de-DE"/>
              </w:rPr>
              <w:t xml:space="preserve">, </w:t>
            </w:r>
            <w:proofErr w:type="spellStart"/>
            <w:r w:rsidRPr="00AB0E3A">
              <w:rPr>
                <w:spacing w:val="-2"/>
                <w:lang w:val="en-GB" w:eastAsia="de-DE"/>
              </w:rPr>
              <w:t>Sanjin</w:t>
            </w:r>
            <w:proofErr w:type="spellEnd"/>
            <w:r w:rsidRPr="00AB0E3A">
              <w:rPr>
                <w:spacing w:val="-2"/>
                <w:lang w:val="en-GB" w:eastAsia="de-DE"/>
              </w:rPr>
              <w:t xml:space="preserve"> (ed.) (2009): </w:t>
            </w:r>
            <w:proofErr w:type="spellStart"/>
            <w:r w:rsidRPr="00AB0E3A">
              <w:rPr>
                <w:i/>
                <w:iCs/>
                <w:spacing w:val="-2"/>
                <w:lang w:val="en-GB" w:eastAsia="de-DE"/>
              </w:rPr>
              <w:t>Arheologija</w:t>
            </w:r>
            <w:proofErr w:type="spellEnd"/>
            <w:r w:rsidRPr="00AB0E3A">
              <w:rPr>
                <w:i/>
                <w:iCs/>
                <w:spacing w:val="-2"/>
                <w:lang w:val="en-GB" w:eastAsia="de-DE"/>
              </w:rPr>
              <w:t xml:space="preserve"> </w:t>
            </w:r>
            <w:proofErr w:type="spellStart"/>
            <w:r w:rsidRPr="00AB0E3A">
              <w:rPr>
                <w:i/>
                <w:iCs/>
                <w:spacing w:val="-2"/>
                <w:lang w:val="en-GB" w:eastAsia="de-DE"/>
              </w:rPr>
              <w:t>i</w:t>
            </w:r>
            <w:proofErr w:type="spellEnd"/>
            <w:r w:rsidRPr="00AB0E3A">
              <w:rPr>
                <w:i/>
                <w:iCs/>
                <w:spacing w:val="-2"/>
                <w:lang w:val="en-GB" w:eastAsia="de-DE"/>
              </w:rPr>
              <w:t xml:space="preserve"> </w:t>
            </w:r>
            <w:proofErr w:type="spellStart"/>
            <w:r w:rsidRPr="00AB0E3A">
              <w:rPr>
                <w:i/>
                <w:iCs/>
                <w:spacing w:val="-2"/>
                <w:lang w:val="en-GB" w:eastAsia="de-DE"/>
              </w:rPr>
              <w:t>turizam</w:t>
            </w:r>
            <w:proofErr w:type="spellEnd"/>
            <w:r w:rsidRPr="00AB0E3A">
              <w:rPr>
                <w:i/>
                <w:iCs/>
                <w:spacing w:val="-2"/>
                <w:lang w:val="en-GB" w:eastAsia="de-DE"/>
              </w:rPr>
              <w:t xml:space="preserve"> u </w:t>
            </w:r>
            <w:proofErr w:type="spellStart"/>
            <w:r w:rsidRPr="00AB0E3A">
              <w:rPr>
                <w:i/>
                <w:iCs/>
                <w:spacing w:val="-2"/>
                <w:lang w:val="en-GB" w:eastAsia="de-DE"/>
              </w:rPr>
              <w:t>Hrvatskoj</w:t>
            </w:r>
            <w:proofErr w:type="spellEnd"/>
            <w:r w:rsidRPr="00AB0E3A">
              <w:rPr>
                <w:i/>
                <w:iCs/>
                <w:spacing w:val="-2"/>
                <w:lang w:val="en-GB" w:eastAsia="de-DE"/>
              </w:rPr>
              <w:t xml:space="preserve">. </w:t>
            </w:r>
            <w:r w:rsidRPr="00AB0E3A">
              <w:rPr>
                <w:spacing w:val="-2"/>
                <w:lang w:val="en-GB" w:eastAsia="de-DE"/>
              </w:rPr>
              <w:t xml:space="preserve">Zagreb: </w:t>
            </w:r>
            <w:proofErr w:type="spellStart"/>
            <w:r w:rsidRPr="00AB0E3A">
              <w:rPr>
                <w:spacing w:val="-2"/>
                <w:lang w:val="en-GB" w:eastAsia="de-DE"/>
              </w:rPr>
              <w:t>Arheološki</w:t>
            </w:r>
            <w:proofErr w:type="spellEnd"/>
            <w:r w:rsidRPr="00AB0E3A">
              <w:rPr>
                <w:spacing w:val="-2"/>
                <w:lang w:val="en-GB" w:eastAsia="de-DE"/>
              </w:rPr>
              <w:t xml:space="preserve"> </w:t>
            </w:r>
            <w:proofErr w:type="spellStart"/>
            <w:r w:rsidRPr="00AB0E3A">
              <w:rPr>
                <w:spacing w:val="-2"/>
                <w:lang w:val="en-GB" w:eastAsia="de-DE"/>
              </w:rPr>
              <w:t>muzej</w:t>
            </w:r>
            <w:proofErr w:type="spellEnd"/>
            <w:r w:rsidRPr="00AB0E3A">
              <w:rPr>
                <w:spacing w:val="-2"/>
                <w:lang w:val="en-GB" w:eastAsia="de-DE"/>
              </w:rPr>
              <w:t xml:space="preserve"> u </w:t>
            </w:r>
            <w:proofErr w:type="spellStart"/>
            <w:r w:rsidRPr="00AB0E3A">
              <w:rPr>
                <w:spacing w:val="-2"/>
                <w:lang w:val="en-GB" w:eastAsia="de-DE"/>
              </w:rPr>
              <w:t>Zagrebu</w:t>
            </w:r>
            <w:proofErr w:type="spellEnd"/>
            <w:r w:rsidRPr="00AB0E3A">
              <w:rPr>
                <w:spacing w:val="-2"/>
                <w:lang w:val="en-GB" w:eastAsia="de-DE"/>
              </w:rPr>
              <w:t>.</w:t>
            </w:r>
          </w:p>
          <w:p w:rsidR="00B6123E" w:rsidRPr="00B6123E" w:rsidRDefault="00B6123E" w:rsidP="00B6123E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hd w:val="clear" w:color="auto" w:fill="FFFFFF"/>
                <w:lang w:eastAsia="hr-HR"/>
              </w:rPr>
            </w:pPr>
            <w:proofErr w:type="spellStart"/>
            <w:r w:rsidRPr="00B6123E">
              <w:rPr>
                <w:rFonts w:asciiTheme="minorHAnsi" w:hAnsiTheme="minorHAnsi" w:cs="Times New Roman"/>
                <w:lang w:val="en-GB" w:eastAsia="sl-SI"/>
              </w:rPr>
              <w:t>Ministarstvo</w:t>
            </w:r>
            <w:proofErr w:type="spellEnd"/>
            <w:r w:rsidRPr="00B6123E">
              <w:rPr>
                <w:rFonts w:asciiTheme="minorHAnsi" w:hAnsiTheme="minorHAnsi" w:cs="Times New Roman"/>
                <w:lang w:val="en-GB" w:eastAsia="sl-SI"/>
              </w:rPr>
              <w:t xml:space="preserve"> </w:t>
            </w:r>
            <w:proofErr w:type="spellStart"/>
            <w:r w:rsidRPr="00B6123E">
              <w:rPr>
                <w:rFonts w:asciiTheme="minorHAnsi" w:hAnsiTheme="minorHAnsi" w:cs="Times New Roman"/>
                <w:lang w:val="en-GB" w:eastAsia="sl-SI"/>
              </w:rPr>
              <w:t>kulture</w:t>
            </w:r>
            <w:proofErr w:type="spellEnd"/>
            <w:r w:rsidRPr="00B6123E">
              <w:rPr>
                <w:rFonts w:asciiTheme="minorHAnsi" w:hAnsiTheme="minorHAnsi" w:cs="Times New Roman"/>
                <w:lang w:val="en-GB" w:eastAsia="sl-SI"/>
              </w:rPr>
              <w:t xml:space="preserve"> RH</w:t>
            </w:r>
            <w:r>
              <w:rPr>
                <w:rFonts w:asciiTheme="minorHAnsi" w:hAnsiTheme="minorHAnsi" w:cs="Times New Roman"/>
                <w:lang w:val="en-GB" w:eastAsia="sl-SI"/>
              </w:rPr>
              <w:t xml:space="preserve"> (2010)</w:t>
            </w:r>
            <w:r w:rsidRPr="00B6123E">
              <w:rPr>
                <w:rFonts w:asciiTheme="minorHAnsi" w:hAnsiTheme="minorHAnsi" w:cs="Times New Roman"/>
                <w:lang w:val="en-GB" w:eastAsia="sl-SI"/>
              </w:rPr>
              <w:t xml:space="preserve">. </w:t>
            </w:r>
            <w:proofErr w:type="spellStart"/>
            <w:r w:rsidRPr="00B6123E">
              <w:rPr>
                <w:rFonts w:asciiTheme="minorHAnsi" w:hAnsiTheme="minorHAnsi" w:cs="Times New Roman"/>
                <w:i/>
                <w:iCs/>
                <w:lang w:val="en-GB" w:eastAsia="sl-SI"/>
              </w:rPr>
              <w:t>Strategija</w:t>
            </w:r>
            <w:proofErr w:type="spellEnd"/>
            <w:r w:rsidRPr="00B6123E">
              <w:rPr>
                <w:rFonts w:asciiTheme="minorHAnsi" w:hAnsiTheme="minorHAnsi" w:cs="Times New Roman"/>
                <w:i/>
                <w:iCs/>
                <w:lang w:val="en-GB" w:eastAsia="sl-SI"/>
              </w:rPr>
              <w:t xml:space="preserve"> </w:t>
            </w:r>
            <w:proofErr w:type="spellStart"/>
            <w:r w:rsidRPr="00B6123E">
              <w:rPr>
                <w:rFonts w:asciiTheme="minorHAnsi" w:hAnsiTheme="minorHAnsi" w:cs="Times New Roman"/>
                <w:i/>
                <w:iCs/>
                <w:lang w:val="en-GB" w:eastAsia="sl-SI"/>
              </w:rPr>
              <w:t>zaštite</w:t>
            </w:r>
            <w:proofErr w:type="spellEnd"/>
            <w:r w:rsidRPr="00B6123E">
              <w:rPr>
                <w:rFonts w:asciiTheme="minorHAnsi" w:hAnsiTheme="minorHAnsi" w:cs="Times New Roman"/>
                <w:i/>
                <w:iCs/>
                <w:lang w:val="en-GB" w:eastAsia="sl-SI"/>
              </w:rPr>
              <w:t xml:space="preserve">, </w:t>
            </w:r>
            <w:proofErr w:type="spellStart"/>
            <w:r w:rsidRPr="00B6123E">
              <w:rPr>
                <w:rFonts w:asciiTheme="minorHAnsi" w:hAnsiTheme="minorHAnsi" w:cs="Times New Roman"/>
                <w:i/>
                <w:iCs/>
                <w:lang w:val="en-GB" w:eastAsia="sl-SI"/>
              </w:rPr>
              <w:t>očuvanja</w:t>
            </w:r>
            <w:proofErr w:type="spellEnd"/>
            <w:r w:rsidRPr="00B6123E">
              <w:rPr>
                <w:rFonts w:asciiTheme="minorHAnsi" w:hAnsiTheme="minorHAnsi" w:cs="Times New Roman"/>
                <w:i/>
                <w:iCs/>
                <w:lang w:val="en-GB" w:eastAsia="sl-SI"/>
              </w:rPr>
              <w:t xml:space="preserve"> </w:t>
            </w:r>
            <w:proofErr w:type="spellStart"/>
            <w:r w:rsidRPr="00B6123E">
              <w:rPr>
                <w:rFonts w:asciiTheme="minorHAnsi" w:hAnsiTheme="minorHAnsi" w:cs="Times New Roman"/>
                <w:i/>
                <w:iCs/>
                <w:lang w:val="en-GB" w:eastAsia="sl-SI"/>
              </w:rPr>
              <w:t>i</w:t>
            </w:r>
            <w:proofErr w:type="spellEnd"/>
            <w:r w:rsidRPr="00B6123E">
              <w:rPr>
                <w:rFonts w:asciiTheme="minorHAnsi" w:hAnsiTheme="minorHAnsi" w:cs="Times New Roman"/>
                <w:i/>
                <w:iCs/>
                <w:lang w:val="en-GB" w:eastAsia="sl-SI"/>
              </w:rPr>
              <w:t xml:space="preserve"> </w:t>
            </w:r>
            <w:proofErr w:type="spellStart"/>
            <w:r w:rsidRPr="00B6123E">
              <w:rPr>
                <w:rFonts w:asciiTheme="minorHAnsi" w:hAnsiTheme="minorHAnsi" w:cs="Times New Roman"/>
                <w:i/>
                <w:iCs/>
                <w:lang w:val="en-GB" w:eastAsia="sl-SI"/>
              </w:rPr>
              <w:t>održivog</w:t>
            </w:r>
            <w:proofErr w:type="spellEnd"/>
            <w:r w:rsidRPr="00B6123E">
              <w:rPr>
                <w:rFonts w:asciiTheme="minorHAnsi" w:hAnsiTheme="minorHAnsi" w:cs="Times New Roman"/>
                <w:i/>
                <w:iCs/>
                <w:lang w:val="en-GB" w:eastAsia="sl-SI"/>
              </w:rPr>
              <w:t xml:space="preserve"> </w:t>
            </w:r>
            <w:proofErr w:type="spellStart"/>
            <w:r w:rsidRPr="00B6123E">
              <w:rPr>
                <w:rFonts w:asciiTheme="minorHAnsi" w:hAnsiTheme="minorHAnsi" w:cs="Times New Roman"/>
                <w:i/>
                <w:iCs/>
                <w:lang w:val="en-GB" w:eastAsia="sl-SI"/>
              </w:rPr>
              <w:t>gospodarskog</w:t>
            </w:r>
            <w:proofErr w:type="spellEnd"/>
            <w:r w:rsidRPr="00B6123E">
              <w:rPr>
                <w:rFonts w:asciiTheme="minorHAnsi" w:hAnsiTheme="minorHAnsi" w:cs="Times New Roman"/>
                <w:i/>
                <w:iCs/>
                <w:lang w:val="en-GB" w:eastAsia="sl-SI"/>
              </w:rPr>
              <w:t xml:space="preserve"> </w:t>
            </w:r>
            <w:proofErr w:type="spellStart"/>
            <w:r w:rsidRPr="00B6123E">
              <w:rPr>
                <w:rFonts w:asciiTheme="minorHAnsi" w:hAnsiTheme="minorHAnsi" w:cs="Times New Roman"/>
                <w:i/>
                <w:iCs/>
                <w:lang w:val="en-GB" w:eastAsia="sl-SI"/>
              </w:rPr>
              <w:t>korištenja</w:t>
            </w:r>
            <w:proofErr w:type="spellEnd"/>
            <w:r w:rsidRPr="00B6123E">
              <w:rPr>
                <w:rFonts w:asciiTheme="minorHAnsi" w:hAnsiTheme="minorHAnsi" w:cs="Times New Roman"/>
                <w:i/>
                <w:iCs/>
                <w:lang w:val="en-GB" w:eastAsia="sl-SI"/>
              </w:rPr>
              <w:t xml:space="preserve"> </w:t>
            </w:r>
            <w:proofErr w:type="spellStart"/>
            <w:r w:rsidRPr="00B6123E">
              <w:rPr>
                <w:rFonts w:asciiTheme="minorHAnsi" w:hAnsiTheme="minorHAnsi" w:cs="Times New Roman"/>
                <w:i/>
                <w:iCs/>
                <w:lang w:val="en-GB" w:eastAsia="sl-SI"/>
              </w:rPr>
              <w:t>kulturne</w:t>
            </w:r>
            <w:proofErr w:type="spellEnd"/>
            <w:r w:rsidRPr="00B6123E">
              <w:rPr>
                <w:rFonts w:asciiTheme="minorHAnsi" w:hAnsiTheme="minorHAnsi" w:cs="Times New Roman"/>
                <w:i/>
                <w:iCs/>
                <w:lang w:val="en-GB" w:eastAsia="sl-SI"/>
              </w:rPr>
              <w:t xml:space="preserve"> </w:t>
            </w:r>
            <w:proofErr w:type="spellStart"/>
            <w:r w:rsidRPr="00B6123E">
              <w:rPr>
                <w:rFonts w:asciiTheme="minorHAnsi" w:hAnsiTheme="minorHAnsi" w:cs="Times New Roman"/>
                <w:i/>
                <w:iCs/>
                <w:lang w:val="en-GB" w:eastAsia="sl-SI"/>
              </w:rPr>
              <w:t>baštine</w:t>
            </w:r>
            <w:proofErr w:type="spellEnd"/>
            <w:r w:rsidRPr="00B6123E">
              <w:rPr>
                <w:rFonts w:asciiTheme="minorHAnsi" w:hAnsiTheme="minorHAnsi" w:cs="Times New Roman"/>
                <w:i/>
                <w:iCs/>
                <w:lang w:val="en-GB" w:eastAsia="sl-SI"/>
              </w:rPr>
              <w:t xml:space="preserve"> </w:t>
            </w:r>
            <w:proofErr w:type="spellStart"/>
            <w:r w:rsidRPr="00B6123E">
              <w:rPr>
                <w:rFonts w:asciiTheme="minorHAnsi" w:hAnsiTheme="minorHAnsi" w:cs="Times New Roman"/>
                <w:i/>
                <w:iCs/>
                <w:lang w:val="en-GB" w:eastAsia="sl-SI"/>
              </w:rPr>
              <w:t>Republike</w:t>
            </w:r>
            <w:proofErr w:type="spellEnd"/>
            <w:r w:rsidRPr="00B6123E">
              <w:rPr>
                <w:rFonts w:asciiTheme="minorHAnsi" w:hAnsiTheme="minorHAnsi" w:cs="Times New Roman"/>
                <w:i/>
                <w:iCs/>
                <w:lang w:val="en-GB" w:eastAsia="sl-SI"/>
              </w:rPr>
              <w:t xml:space="preserve"> </w:t>
            </w:r>
            <w:proofErr w:type="spellStart"/>
            <w:r w:rsidRPr="00B6123E">
              <w:rPr>
                <w:rFonts w:asciiTheme="minorHAnsi" w:hAnsiTheme="minorHAnsi" w:cs="Times New Roman"/>
                <w:i/>
                <w:iCs/>
                <w:lang w:val="en-GB" w:eastAsia="sl-SI"/>
              </w:rPr>
              <w:t>Hrvatske</w:t>
            </w:r>
            <w:proofErr w:type="spellEnd"/>
            <w:r w:rsidRPr="00B6123E">
              <w:rPr>
                <w:rFonts w:asciiTheme="minorHAnsi" w:hAnsiTheme="minorHAnsi" w:cs="Times New Roman"/>
                <w:i/>
                <w:iCs/>
                <w:lang w:val="en-GB" w:eastAsia="sl-SI"/>
              </w:rPr>
              <w:t xml:space="preserve"> </w:t>
            </w:r>
            <w:proofErr w:type="spellStart"/>
            <w:r w:rsidRPr="00B6123E">
              <w:rPr>
                <w:rFonts w:asciiTheme="minorHAnsi" w:hAnsiTheme="minorHAnsi" w:cs="Times New Roman"/>
                <w:i/>
                <w:iCs/>
                <w:lang w:val="en-GB" w:eastAsia="sl-SI"/>
              </w:rPr>
              <w:t>za</w:t>
            </w:r>
            <w:proofErr w:type="spellEnd"/>
            <w:r w:rsidRPr="00B6123E">
              <w:rPr>
                <w:rFonts w:asciiTheme="minorHAnsi" w:hAnsiTheme="minorHAnsi" w:cs="Times New Roman"/>
                <w:i/>
                <w:iCs/>
                <w:lang w:val="en-GB" w:eastAsia="sl-SI"/>
              </w:rPr>
              <w:t xml:space="preserve"> </w:t>
            </w:r>
            <w:proofErr w:type="spellStart"/>
            <w:r w:rsidRPr="00B6123E">
              <w:rPr>
                <w:rFonts w:asciiTheme="minorHAnsi" w:hAnsiTheme="minorHAnsi" w:cs="Times New Roman"/>
                <w:i/>
                <w:iCs/>
                <w:lang w:val="en-GB" w:eastAsia="sl-SI"/>
              </w:rPr>
              <w:t>razdoblje</w:t>
            </w:r>
            <w:proofErr w:type="spellEnd"/>
            <w:r w:rsidRPr="00B6123E">
              <w:rPr>
                <w:rFonts w:asciiTheme="minorHAnsi" w:hAnsiTheme="minorHAnsi" w:cs="Times New Roman"/>
                <w:i/>
                <w:iCs/>
                <w:lang w:val="en-GB" w:eastAsia="sl-SI"/>
              </w:rPr>
              <w:t xml:space="preserve"> 2011.–2015</w:t>
            </w:r>
            <w:r w:rsidRPr="00B6123E">
              <w:rPr>
                <w:rFonts w:asciiTheme="minorHAnsi" w:hAnsiTheme="minorHAnsi" w:cs="Times New Roman"/>
                <w:lang w:val="en-GB" w:eastAsia="sl-SI"/>
              </w:rPr>
              <w:t xml:space="preserve">., </w:t>
            </w:r>
            <w:hyperlink r:id="rId9" w:history="1">
              <w:r w:rsidRPr="00B6123E">
                <w:rPr>
                  <w:rFonts w:asciiTheme="minorHAnsi" w:eastAsia="MS ????" w:hAnsiTheme="minorHAnsi" w:cs="Times New Roman"/>
                  <w:lang w:val="en-GB" w:eastAsia="sl-SI"/>
                </w:rPr>
                <w:t>http://www.min-kulture.hr/userdocsimages/bastina/STRATEGIJA_BASTINE_VRH.pdf</w:t>
              </w:r>
            </w:hyperlink>
          </w:p>
          <w:p w:rsidR="005028FA" w:rsidRPr="00AB0E3A" w:rsidRDefault="005028FA" w:rsidP="00B6123E">
            <w:pPr>
              <w:numPr>
                <w:ilvl w:val="0"/>
                <w:numId w:val="5"/>
              </w:numPr>
              <w:spacing w:after="0" w:line="240" w:lineRule="auto"/>
            </w:pPr>
            <w:proofErr w:type="spellStart"/>
            <w:r w:rsidRPr="00AB0E3A">
              <w:t>Murzyn</w:t>
            </w:r>
            <w:proofErr w:type="spellEnd"/>
            <w:r w:rsidRPr="00AB0E3A">
              <w:t xml:space="preserve">, M.A., </w:t>
            </w:r>
            <w:proofErr w:type="spellStart"/>
            <w:r w:rsidRPr="00AB0E3A">
              <w:t>Purchla</w:t>
            </w:r>
            <w:proofErr w:type="spellEnd"/>
            <w:r w:rsidRPr="00AB0E3A">
              <w:t xml:space="preserve">, J. (2007): </w:t>
            </w:r>
            <w:proofErr w:type="spellStart"/>
            <w:r w:rsidRPr="00AB0E3A">
              <w:rPr>
                <w:i/>
                <w:iCs/>
              </w:rPr>
              <w:t>Cultural</w:t>
            </w:r>
            <w:proofErr w:type="spellEnd"/>
            <w:r w:rsidRPr="00AB0E3A">
              <w:rPr>
                <w:i/>
                <w:iCs/>
              </w:rPr>
              <w:t xml:space="preserve"> </w:t>
            </w:r>
            <w:proofErr w:type="spellStart"/>
            <w:r w:rsidRPr="00AB0E3A">
              <w:rPr>
                <w:i/>
                <w:iCs/>
              </w:rPr>
              <w:t>Heritage</w:t>
            </w:r>
            <w:proofErr w:type="spellEnd"/>
            <w:r w:rsidRPr="00AB0E3A">
              <w:rPr>
                <w:i/>
                <w:iCs/>
              </w:rPr>
              <w:t xml:space="preserve"> </w:t>
            </w:r>
            <w:proofErr w:type="spellStart"/>
            <w:r w:rsidRPr="00AB0E3A">
              <w:rPr>
                <w:i/>
                <w:iCs/>
              </w:rPr>
              <w:t>in</w:t>
            </w:r>
            <w:proofErr w:type="spellEnd"/>
            <w:r w:rsidRPr="00AB0E3A">
              <w:rPr>
                <w:i/>
                <w:iCs/>
              </w:rPr>
              <w:t xml:space="preserve"> </w:t>
            </w:r>
            <w:proofErr w:type="spellStart"/>
            <w:r w:rsidRPr="00AB0E3A">
              <w:rPr>
                <w:i/>
                <w:iCs/>
              </w:rPr>
              <w:t>the</w:t>
            </w:r>
            <w:proofErr w:type="spellEnd"/>
            <w:r w:rsidRPr="00AB0E3A">
              <w:rPr>
                <w:i/>
                <w:iCs/>
              </w:rPr>
              <w:t xml:space="preserve"> 21st </w:t>
            </w:r>
            <w:proofErr w:type="spellStart"/>
            <w:r w:rsidRPr="00AB0E3A">
              <w:rPr>
                <w:i/>
                <w:iCs/>
              </w:rPr>
              <w:t>Century</w:t>
            </w:r>
            <w:proofErr w:type="spellEnd"/>
            <w:r w:rsidRPr="00AB0E3A">
              <w:rPr>
                <w:i/>
                <w:iCs/>
              </w:rPr>
              <w:t xml:space="preserve">, </w:t>
            </w:r>
            <w:proofErr w:type="spellStart"/>
            <w:r w:rsidRPr="00AB0E3A">
              <w:rPr>
                <w:i/>
                <w:iCs/>
              </w:rPr>
              <w:t>Opportunities</w:t>
            </w:r>
            <w:proofErr w:type="spellEnd"/>
            <w:r w:rsidRPr="00AB0E3A">
              <w:rPr>
                <w:i/>
                <w:iCs/>
              </w:rPr>
              <w:t xml:space="preserve"> </w:t>
            </w:r>
            <w:proofErr w:type="spellStart"/>
            <w:r w:rsidRPr="00AB0E3A">
              <w:rPr>
                <w:i/>
                <w:iCs/>
              </w:rPr>
              <w:t>and</w:t>
            </w:r>
            <w:proofErr w:type="spellEnd"/>
            <w:r w:rsidRPr="00AB0E3A">
              <w:rPr>
                <w:i/>
                <w:iCs/>
              </w:rPr>
              <w:t xml:space="preserve"> </w:t>
            </w:r>
            <w:proofErr w:type="spellStart"/>
            <w:r w:rsidRPr="00AB0E3A">
              <w:rPr>
                <w:i/>
                <w:iCs/>
              </w:rPr>
              <w:t>Challenges</w:t>
            </w:r>
            <w:proofErr w:type="spellEnd"/>
            <w:r w:rsidRPr="00AB0E3A">
              <w:t xml:space="preserve">, </w:t>
            </w:r>
            <w:r>
              <w:t xml:space="preserve">Krakow: </w:t>
            </w:r>
            <w:r w:rsidRPr="00AB0E3A">
              <w:t>Inter</w:t>
            </w:r>
            <w:r>
              <w:t xml:space="preserve">national </w:t>
            </w:r>
            <w:proofErr w:type="spellStart"/>
            <w:r>
              <w:t>Cultural</w:t>
            </w:r>
            <w:proofErr w:type="spellEnd"/>
            <w:r>
              <w:t xml:space="preserve"> Centre</w:t>
            </w:r>
            <w:r w:rsidRPr="00AB0E3A">
              <w:t xml:space="preserve"> (317 p).</w:t>
            </w:r>
          </w:p>
          <w:p w:rsidR="005028FA" w:rsidRDefault="005028FA" w:rsidP="00B6123E">
            <w:pPr>
              <w:numPr>
                <w:ilvl w:val="0"/>
                <w:numId w:val="5"/>
              </w:numPr>
              <w:spacing w:after="0" w:line="240" w:lineRule="auto"/>
            </w:pPr>
            <w:proofErr w:type="spellStart"/>
            <w:r w:rsidRPr="00AB0E3A">
              <w:t>Nikočević</w:t>
            </w:r>
            <w:proofErr w:type="spellEnd"/>
            <w:r w:rsidRPr="00AB0E3A">
              <w:t xml:space="preserve">, L. (2007.) </w:t>
            </w:r>
            <w:r w:rsidRPr="00AB0E3A">
              <w:rPr>
                <w:i/>
                <w:iCs/>
              </w:rPr>
              <w:t>Održivi razvoj kulturnog turizma Istre. Srce Istre: Kultura i baština Istre, Razvoj prekograničnih turističkih itinerera u urbanim i ruralnim područjima Istre.</w:t>
            </w:r>
            <w:r w:rsidRPr="00AB0E3A">
              <w:t xml:space="preserve"> Dostupno na: </w:t>
            </w:r>
            <w:hyperlink r:id="rId10" w:history="1">
              <w:r w:rsidRPr="00AB0E3A">
                <w:rPr>
                  <w:rStyle w:val="Hyperlink"/>
                </w:rPr>
                <w:t>http://heartofistria.org/index.php?id=110</w:t>
              </w:r>
            </w:hyperlink>
            <w:r w:rsidRPr="00AB0E3A">
              <w:t xml:space="preserve">  </w:t>
            </w:r>
          </w:p>
          <w:p w:rsidR="00B6123E" w:rsidRPr="00AB0E3A" w:rsidRDefault="00B6123E" w:rsidP="00B6123E">
            <w:pPr>
              <w:numPr>
                <w:ilvl w:val="0"/>
                <w:numId w:val="5"/>
              </w:numPr>
              <w:spacing w:after="0" w:line="240" w:lineRule="auto"/>
            </w:pPr>
            <w:r w:rsidRPr="00AB0E3A">
              <w:t xml:space="preserve">OECD (2005) OECD </w:t>
            </w:r>
            <w:proofErr w:type="spellStart"/>
            <w:r w:rsidRPr="00AB0E3A">
              <w:t>Guidelines</w:t>
            </w:r>
            <w:proofErr w:type="spellEnd"/>
            <w:r w:rsidRPr="00AB0E3A">
              <w:t xml:space="preserve"> On </w:t>
            </w:r>
            <w:proofErr w:type="spellStart"/>
            <w:r w:rsidRPr="00AB0E3A">
              <w:t>Corporate</w:t>
            </w:r>
            <w:proofErr w:type="spellEnd"/>
            <w:r w:rsidRPr="00AB0E3A">
              <w:t xml:space="preserve"> </w:t>
            </w:r>
            <w:proofErr w:type="spellStart"/>
            <w:r w:rsidRPr="00AB0E3A">
              <w:t>Governance</w:t>
            </w:r>
            <w:proofErr w:type="spellEnd"/>
            <w:r w:rsidRPr="00AB0E3A">
              <w:t xml:space="preserve"> </w:t>
            </w:r>
            <w:proofErr w:type="spellStart"/>
            <w:r w:rsidRPr="00AB0E3A">
              <w:t>of</w:t>
            </w:r>
            <w:proofErr w:type="spellEnd"/>
            <w:r w:rsidRPr="00AB0E3A">
              <w:t xml:space="preserve"> State-</w:t>
            </w:r>
            <w:proofErr w:type="spellStart"/>
            <w:r w:rsidRPr="00AB0E3A">
              <w:t>Owned</w:t>
            </w:r>
            <w:proofErr w:type="spellEnd"/>
            <w:r w:rsidRPr="00AB0E3A">
              <w:t xml:space="preserve"> Enterprises. Paris: OECD</w:t>
            </w:r>
          </w:p>
          <w:p w:rsidR="005028FA" w:rsidRDefault="005028FA" w:rsidP="00B6123E">
            <w:pPr>
              <w:numPr>
                <w:ilvl w:val="0"/>
                <w:numId w:val="5"/>
              </w:numPr>
              <w:spacing w:after="0" w:line="240" w:lineRule="auto"/>
            </w:pPr>
            <w:r w:rsidRPr="00AB0E3A">
              <w:t xml:space="preserve">Pavičić J. , </w:t>
            </w:r>
            <w:proofErr w:type="spellStart"/>
            <w:r w:rsidRPr="00AB0E3A">
              <w:t>Alfirević</w:t>
            </w:r>
            <w:proofErr w:type="spellEnd"/>
            <w:r w:rsidRPr="00AB0E3A">
              <w:t xml:space="preserve"> N., Aleksić </w:t>
            </w:r>
            <w:proofErr w:type="spellStart"/>
            <w:r w:rsidRPr="00AB0E3A">
              <w:t>Lj</w:t>
            </w:r>
            <w:proofErr w:type="spellEnd"/>
            <w:r w:rsidRPr="00AB0E3A">
              <w:t xml:space="preserve">. (2006): </w:t>
            </w:r>
            <w:r w:rsidRPr="00AB0E3A">
              <w:rPr>
                <w:i/>
                <w:iCs/>
              </w:rPr>
              <w:t>Marketing i menadžment u kulturi i umjetnosti</w:t>
            </w:r>
            <w:r w:rsidRPr="00AB0E3A">
              <w:t xml:space="preserve">, Zagreb: </w:t>
            </w:r>
            <w:proofErr w:type="spellStart"/>
            <w:r w:rsidRPr="00AB0E3A">
              <w:t>Masmedia</w:t>
            </w:r>
            <w:proofErr w:type="spellEnd"/>
            <w:r w:rsidRPr="00AB0E3A">
              <w:t>.</w:t>
            </w:r>
          </w:p>
          <w:p w:rsidR="005028FA" w:rsidRPr="00AB0E3A" w:rsidRDefault="005028FA" w:rsidP="00B6123E">
            <w:pPr>
              <w:numPr>
                <w:ilvl w:val="0"/>
                <w:numId w:val="5"/>
              </w:numPr>
              <w:spacing w:after="0" w:line="240" w:lineRule="auto"/>
            </w:pPr>
            <w:proofErr w:type="spellStart"/>
            <w:r>
              <w:t>Richards</w:t>
            </w:r>
            <w:proofErr w:type="spellEnd"/>
            <w:r>
              <w:t>, G. (</w:t>
            </w:r>
            <w:proofErr w:type="spellStart"/>
            <w:r>
              <w:t>ed</w:t>
            </w:r>
            <w:proofErr w:type="spellEnd"/>
            <w:r>
              <w:t xml:space="preserve">.) (2007), </w:t>
            </w:r>
            <w:proofErr w:type="spellStart"/>
            <w:r w:rsidRPr="00F708FE">
              <w:rPr>
                <w:i/>
                <w:iCs/>
              </w:rPr>
              <w:t>Cultural</w:t>
            </w:r>
            <w:proofErr w:type="spellEnd"/>
            <w:r w:rsidRPr="00F708FE">
              <w:rPr>
                <w:i/>
                <w:iCs/>
              </w:rPr>
              <w:t xml:space="preserve"> </w:t>
            </w:r>
            <w:proofErr w:type="spellStart"/>
            <w:r w:rsidRPr="00F708FE">
              <w:rPr>
                <w:i/>
                <w:iCs/>
              </w:rPr>
              <w:t>Tourism</w:t>
            </w:r>
            <w:proofErr w:type="spellEnd"/>
            <w:r w:rsidRPr="00F708FE">
              <w:rPr>
                <w:i/>
                <w:iCs/>
              </w:rPr>
              <w:t xml:space="preserve">, Global </w:t>
            </w:r>
            <w:proofErr w:type="spellStart"/>
            <w:r w:rsidRPr="00F708FE">
              <w:rPr>
                <w:i/>
                <w:iCs/>
              </w:rPr>
              <w:t>and</w:t>
            </w:r>
            <w:proofErr w:type="spellEnd"/>
            <w:r w:rsidRPr="00F708FE">
              <w:rPr>
                <w:i/>
                <w:iCs/>
              </w:rPr>
              <w:t xml:space="preserve"> </w:t>
            </w:r>
            <w:proofErr w:type="spellStart"/>
            <w:r w:rsidRPr="00F708FE">
              <w:rPr>
                <w:i/>
                <w:iCs/>
              </w:rPr>
              <w:t>Local</w:t>
            </w:r>
            <w:proofErr w:type="spellEnd"/>
            <w:r w:rsidRPr="00F708FE">
              <w:rPr>
                <w:i/>
                <w:iCs/>
              </w:rPr>
              <w:t xml:space="preserve"> </w:t>
            </w:r>
            <w:proofErr w:type="spellStart"/>
            <w:r w:rsidRPr="00F708FE">
              <w:rPr>
                <w:i/>
                <w:iCs/>
              </w:rPr>
              <w:t>Perspectives</w:t>
            </w:r>
            <w:proofErr w:type="spellEnd"/>
            <w:r w:rsidRPr="00F708FE">
              <w:t>, New York</w:t>
            </w:r>
            <w:r>
              <w:t xml:space="preserve">, London, </w:t>
            </w:r>
            <w:proofErr w:type="spellStart"/>
            <w:r>
              <w:t>Oxford</w:t>
            </w:r>
            <w:proofErr w:type="spellEnd"/>
            <w:r>
              <w:t>: THHP</w:t>
            </w:r>
          </w:p>
          <w:p w:rsidR="005028FA" w:rsidRPr="00B6123E" w:rsidRDefault="005028FA" w:rsidP="00B6123E">
            <w:pPr>
              <w:numPr>
                <w:ilvl w:val="0"/>
                <w:numId w:val="5"/>
              </w:numPr>
              <w:spacing w:after="0" w:line="240" w:lineRule="auto"/>
            </w:pPr>
            <w:proofErr w:type="spellStart"/>
            <w:r w:rsidRPr="00B6123E">
              <w:t>Richards</w:t>
            </w:r>
            <w:proofErr w:type="spellEnd"/>
            <w:r w:rsidRPr="00B6123E">
              <w:t xml:space="preserve">. G., </w:t>
            </w:r>
            <w:proofErr w:type="spellStart"/>
            <w:r w:rsidRPr="00B6123E">
              <w:t>Palmer</w:t>
            </w:r>
            <w:proofErr w:type="spellEnd"/>
            <w:r w:rsidRPr="00B6123E">
              <w:t xml:space="preserve">. R. (2010): </w:t>
            </w:r>
            <w:proofErr w:type="spellStart"/>
            <w:r w:rsidRPr="00B6123E">
              <w:rPr>
                <w:i/>
                <w:iCs/>
              </w:rPr>
              <w:t>Eventful</w:t>
            </w:r>
            <w:proofErr w:type="spellEnd"/>
            <w:r w:rsidRPr="00B6123E">
              <w:rPr>
                <w:i/>
                <w:iCs/>
              </w:rPr>
              <w:t xml:space="preserve"> </w:t>
            </w:r>
            <w:proofErr w:type="spellStart"/>
            <w:r w:rsidRPr="00B6123E">
              <w:rPr>
                <w:i/>
                <w:iCs/>
              </w:rPr>
              <w:t>Cities</w:t>
            </w:r>
            <w:proofErr w:type="spellEnd"/>
            <w:r w:rsidRPr="00B6123E">
              <w:rPr>
                <w:i/>
                <w:iCs/>
              </w:rPr>
              <w:t xml:space="preserve">. </w:t>
            </w:r>
            <w:proofErr w:type="spellStart"/>
            <w:r w:rsidRPr="00B6123E">
              <w:rPr>
                <w:i/>
                <w:iCs/>
              </w:rPr>
              <w:t>Cultural</w:t>
            </w:r>
            <w:proofErr w:type="spellEnd"/>
            <w:r w:rsidRPr="00B6123E">
              <w:rPr>
                <w:i/>
                <w:iCs/>
              </w:rPr>
              <w:t xml:space="preserve"> management </w:t>
            </w:r>
            <w:proofErr w:type="spellStart"/>
            <w:r w:rsidRPr="00B6123E">
              <w:rPr>
                <w:i/>
                <w:iCs/>
              </w:rPr>
              <w:t>and</w:t>
            </w:r>
            <w:proofErr w:type="spellEnd"/>
            <w:r w:rsidRPr="00B6123E">
              <w:rPr>
                <w:i/>
                <w:iCs/>
              </w:rPr>
              <w:t xml:space="preserve"> urban </w:t>
            </w:r>
            <w:proofErr w:type="spellStart"/>
            <w:r w:rsidRPr="00B6123E">
              <w:rPr>
                <w:i/>
                <w:iCs/>
              </w:rPr>
              <w:t>revitalization</w:t>
            </w:r>
            <w:proofErr w:type="spellEnd"/>
            <w:r w:rsidRPr="00B6123E">
              <w:t xml:space="preserve">. </w:t>
            </w:r>
            <w:proofErr w:type="spellStart"/>
            <w:r w:rsidRPr="00B6123E">
              <w:t>Oxford</w:t>
            </w:r>
            <w:proofErr w:type="spellEnd"/>
            <w:r w:rsidRPr="00B6123E">
              <w:t xml:space="preserve">: </w:t>
            </w:r>
            <w:proofErr w:type="spellStart"/>
            <w:r w:rsidRPr="00B6123E">
              <w:t>Butterworth-Heinemann</w:t>
            </w:r>
            <w:proofErr w:type="spellEnd"/>
            <w:r w:rsidRPr="00B6123E">
              <w:t xml:space="preserve">. </w:t>
            </w:r>
          </w:p>
          <w:p w:rsidR="005028FA" w:rsidRDefault="005028FA" w:rsidP="00B6123E">
            <w:pPr>
              <w:numPr>
                <w:ilvl w:val="0"/>
                <w:numId w:val="5"/>
              </w:numPr>
              <w:spacing w:after="0" w:line="240" w:lineRule="auto"/>
              <w:rPr>
                <w:lang w:eastAsia="hr-HR"/>
              </w:rPr>
            </w:pPr>
            <w:r w:rsidRPr="00B6123E">
              <w:rPr>
                <w:lang w:eastAsia="hr-HR"/>
              </w:rPr>
              <w:t xml:space="preserve">Robinson, M., </w:t>
            </w:r>
            <w:proofErr w:type="spellStart"/>
            <w:r w:rsidRPr="00B6123E">
              <w:rPr>
                <w:lang w:eastAsia="hr-HR"/>
              </w:rPr>
              <w:t>Picard</w:t>
            </w:r>
            <w:proofErr w:type="spellEnd"/>
            <w:r w:rsidRPr="00B6123E">
              <w:rPr>
                <w:lang w:eastAsia="hr-HR"/>
              </w:rPr>
              <w:t xml:space="preserve">, D. (2006): </w:t>
            </w:r>
            <w:proofErr w:type="spellStart"/>
            <w:r w:rsidRPr="00B6123E">
              <w:rPr>
                <w:i/>
                <w:iCs/>
                <w:lang w:eastAsia="hr-HR"/>
              </w:rPr>
              <w:t>Tourism</w:t>
            </w:r>
            <w:proofErr w:type="spellEnd"/>
            <w:r w:rsidRPr="00B6123E">
              <w:rPr>
                <w:i/>
                <w:iCs/>
                <w:lang w:eastAsia="hr-HR"/>
              </w:rPr>
              <w:t xml:space="preserve">, </w:t>
            </w:r>
            <w:proofErr w:type="spellStart"/>
            <w:r w:rsidRPr="00B6123E">
              <w:rPr>
                <w:i/>
                <w:iCs/>
                <w:lang w:eastAsia="hr-HR"/>
              </w:rPr>
              <w:t>Culture</w:t>
            </w:r>
            <w:proofErr w:type="spellEnd"/>
            <w:r w:rsidRPr="00B6123E">
              <w:rPr>
                <w:i/>
                <w:iCs/>
                <w:lang w:eastAsia="hr-HR"/>
              </w:rPr>
              <w:t xml:space="preserve"> </w:t>
            </w:r>
            <w:proofErr w:type="spellStart"/>
            <w:r w:rsidRPr="00B6123E">
              <w:rPr>
                <w:i/>
                <w:iCs/>
                <w:lang w:eastAsia="hr-HR"/>
              </w:rPr>
              <w:t>and</w:t>
            </w:r>
            <w:proofErr w:type="spellEnd"/>
            <w:r w:rsidRPr="00B6123E">
              <w:rPr>
                <w:i/>
                <w:iCs/>
                <w:lang w:eastAsia="hr-HR"/>
              </w:rPr>
              <w:t xml:space="preserve"> </w:t>
            </w:r>
            <w:proofErr w:type="spellStart"/>
            <w:r w:rsidRPr="00B6123E">
              <w:rPr>
                <w:i/>
                <w:iCs/>
                <w:lang w:eastAsia="hr-HR"/>
              </w:rPr>
              <w:t>Sustainable</w:t>
            </w:r>
            <w:proofErr w:type="spellEnd"/>
            <w:r w:rsidRPr="00B6123E">
              <w:rPr>
                <w:i/>
                <w:iCs/>
                <w:lang w:eastAsia="hr-HR"/>
              </w:rPr>
              <w:t xml:space="preserve"> Development,</w:t>
            </w:r>
            <w:r w:rsidRPr="00B6123E">
              <w:rPr>
                <w:lang w:eastAsia="hr-HR"/>
              </w:rPr>
              <w:t xml:space="preserve"> Paris: UNESCO.</w:t>
            </w:r>
          </w:p>
          <w:p w:rsidR="007F2568" w:rsidRDefault="005028FA" w:rsidP="007F2568">
            <w:pPr>
              <w:numPr>
                <w:ilvl w:val="0"/>
                <w:numId w:val="5"/>
              </w:numPr>
              <w:spacing w:after="0" w:line="240" w:lineRule="auto"/>
              <w:rPr>
                <w:lang w:eastAsia="hr-HR"/>
              </w:rPr>
            </w:pPr>
            <w:proofErr w:type="spellStart"/>
            <w:r w:rsidRPr="00B6123E">
              <w:t>Švob</w:t>
            </w:r>
            <w:proofErr w:type="spellEnd"/>
            <w:r w:rsidRPr="00B6123E">
              <w:t>-Đokić, N. (</w:t>
            </w:r>
            <w:proofErr w:type="spellStart"/>
            <w:r w:rsidRPr="00B6123E">
              <w:t>ed</w:t>
            </w:r>
            <w:proofErr w:type="spellEnd"/>
            <w:r w:rsidRPr="00B6123E">
              <w:t xml:space="preserve">.) (2007): </w:t>
            </w:r>
            <w:proofErr w:type="spellStart"/>
            <w:r w:rsidRPr="007F2568">
              <w:rPr>
                <w:i/>
                <w:iCs/>
              </w:rPr>
              <w:t>The</w:t>
            </w:r>
            <w:proofErr w:type="spellEnd"/>
            <w:r w:rsidRPr="007F2568">
              <w:rPr>
                <w:i/>
                <w:iCs/>
              </w:rPr>
              <w:t xml:space="preserve"> Creative City: </w:t>
            </w:r>
            <w:proofErr w:type="spellStart"/>
            <w:r w:rsidRPr="007F2568">
              <w:rPr>
                <w:i/>
                <w:iCs/>
              </w:rPr>
              <w:t>Crossing</w:t>
            </w:r>
            <w:proofErr w:type="spellEnd"/>
            <w:r w:rsidRPr="007F2568">
              <w:rPr>
                <w:i/>
                <w:iCs/>
              </w:rPr>
              <w:t xml:space="preserve"> </w:t>
            </w:r>
            <w:proofErr w:type="spellStart"/>
            <w:r w:rsidRPr="007F2568">
              <w:rPr>
                <w:i/>
                <w:iCs/>
              </w:rPr>
              <w:t>Visions</w:t>
            </w:r>
            <w:proofErr w:type="spellEnd"/>
            <w:r w:rsidRPr="007F2568">
              <w:rPr>
                <w:i/>
                <w:iCs/>
              </w:rPr>
              <w:t xml:space="preserve"> </w:t>
            </w:r>
            <w:proofErr w:type="spellStart"/>
            <w:r w:rsidRPr="007F2568">
              <w:rPr>
                <w:i/>
                <w:iCs/>
              </w:rPr>
              <w:t>and</w:t>
            </w:r>
            <w:proofErr w:type="spellEnd"/>
            <w:r w:rsidRPr="007F2568">
              <w:rPr>
                <w:i/>
                <w:iCs/>
              </w:rPr>
              <w:t xml:space="preserve"> New </w:t>
            </w:r>
            <w:proofErr w:type="spellStart"/>
            <w:r w:rsidRPr="007F2568">
              <w:rPr>
                <w:i/>
                <w:iCs/>
              </w:rPr>
              <w:t>Realities</w:t>
            </w:r>
            <w:proofErr w:type="spellEnd"/>
            <w:r w:rsidRPr="007F2568">
              <w:rPr>
                <w:i/>
                <w:iCs/>
              </w:rPr>
              <w:t xml:space="preserve"> </w:t>
            </w:r>
            <w:proofErr w:type="spellStart"/>
            <w:r w:rsidRPr="007F2568">
              <w:rPr>
                <w:i/>
                <w:iCs/>
              </w:rPr>
              <w:t>in</w:t>
            </w:r>
            <w:proofErr w:type="spellEnd"/>
            <w:r w:rsidRPr="007F2568">
              <w:rPr>
                <w:i/>
                <w:iCs/>
              </w:rPr>
              <w:t xml:space="preserve"> </w:t>
            </w:r>
            <w:proofErr w:type="spellStart"/>
            <w:r w:rsidRPr="007F2568">
              <w:rPr>
                <w:i/>
                <w:iCs/>
              </w:rPr>
              <w:t>the</w:t>
            </w:r>
            <w:proofErr w:type="spellEnd"/>
            <w:r w:rsidRPr="007F2568">
              <w:rPr>
                <w:i/>
                <w:iCs/>
              </w:rPr>
              <w:t xml:space="preserve"> </w:t>
            </w:r>
            <w:proofErr w:type="spellStart"/>
            <w:r w:rsidRPr="007F2568">
              <w:rPr>
                <w:i/>
                <w:iCs/>
              </w:rPr>
              <w:t>Regoin</w:t>
            </w:r>
            <w:proofErr w:type="spellEnd"/>
            <w:r w:rsidRPr="007F2568">
              <w:rPr>
                <w:i/>
                <w:iCs/>
              </w:rPr>
              <w:t>,</w:t>
            </w:r>
            <w:r w:rsidRPr="00B6123E">
              <w:t xml:space="preserve"> Zagreb:</w:t>
            </w:r>
            <w:r w:rsidRPr="007F2568">
              <w:rPr>
                <w:i/>
                <w:iCs/>
              </w:rPr>
              <w:t xml:space="preserve"> </w:t>
            </w:r>
            <w:r w:rsidRPr="00B6123E">
              <w:t xml:space="preserve">Institute for International </w:t>
            </w:r>
            <w:proofErr w:type="spellStart"/>
            <w:r w:rsidRPr="00B6123E">
              <w:t>Relations</w:t>
            </w:r>
            <w:proofErr w:type="spellEnd"/>
            <w:r w:rsidR="007F2568">
              <w:t xml:space="preserve">. </w:t>
            </w:r>
            <w:r w:rsidR="007F2568">
              <w:rPr>
                <w:lang w:eastAsia="hr-HR"/>
              </w:rPr>
              <w:t xml:space="preserve"> </w:t>
            </w:r>
          </w:p>
          <w:p w:rsidR="007553AF" w:rsidRPr="007553AF" w:rsidRDefault="007F2568" w:rsidP="007F2568">
            <w:pPr>
              <w:spacing w:after="0" w:line="240" w:lineRule="auto"/>
              <w:ind w:left="720"/>
              <w:rPr>
                <w:lang w:eastAsia="hr-HR"/>
              </w:rPr>
            </w:pPr>
            <w:hyperlink r:id="rId11" w:history="1">
              <w:r w:rsidRPr="007F2568">
                <w:rPr>
                  <w:rStyle w:val="Hyperlink"/>
                  <w:rFonts w:asciiTheme="minorHAnsi" w:eastAsia="Times New Roman" w:hAnsiTheme="minorHAnsi" w:cstheme="minorHAnsi"/>
                  <w:lang w:eastAsia="hr-HR"/>
                </w:rPr>
                <w:t>http://www.irmo.hr/wp-content/uploads/2013/11/Svob-</w:t>
              </w:r>
              <w:r w:rsidRPr="007F2568">
                <w:rPr>
                  <w:rStyle w:val="Hyperlink"/>
                  <w:rFonts w:asciiTheme="minorHAnsi" w:eastAsia="Times New Roman" w:hAnsiTheme="minorHAnsi" w:cstheme="minorHAnsi"/>
                  <w:lang w:eastAsia="hr-HR"/>
                </w:rPr>
                <w:t xml:space="preserve">   Djokic_Creative_City.pdf</w:t>
              </w:r>
            </w:hyperlink>
          </w:p>
          <w:p w:rsidR="005028FA" w:rsidRDefault="005028FA" w:rsidP="00B6123E">
            <w:pPr>
              <w:numPr>
                <w:ilvl w:val="0"/>
                <w:numId w:val="5"/>
              </w:numPr>
              <w:spacing w:after="0" w:line="240" w:lineRule="auto"/>
            </w:pPr>
            <w:proofErr w:type="spellStart"/>
            <w:r w:rsidRPr="00AB0E3A">
              <w:t>Towse</w:t>
            </w:r>
            <w:proofErr w:type="spellEnd"/>
            <w:r w:rsidRPr="00AB0E3A">
              <w:t>, R. (</w:t>
            </w:r>
            <w:proofErr w:type="spellStart"/>
            <w:r w:rsidRPr="00AB0E3A">
              <w:t>ed</w:t>
            </w:r>
            <w:proofErr w:type="spellEnd"/>
            <w:r w:rsidRPr="00AB0E3A">
              <w:t xml:space="preserve">.) (2003): </w:t>
            </w:r>
            <w:r w:rsidRPr="00AB0E3A">
              <w:rPr>
                <w:i/>
                <w:iCs/>
              </w:rPr>
              <w:t xml:space="preserve">A </w:t>
            </w:r>
            <w:proofErr w:type="spellStart"/>
            <w:r w:rsidRPr="00AB0E3A">
              <w:rPr>
                <w:i/>
                <w:iCs/>
              </w:rPr>
              <w:t>Handbook</w:t>
            </w:r>
            <w:proofErr w:type="spellEnd"/>
            <w:r w:rsidRPr="00AB0E3A">
              <w:rPr>
                <w:i/>
                <w:iCs/>
              </w:rPr>
              <w:t xml:space="preserve"> </w:t>
            </w:r>
            <w:proofErr w:type="spellStart"/>
            <w:r w:rsidRPr="00AB0E3A">
              <w:rPr>
                <w:i/>
                <w:iCs/>
              </w:rPr>
              <w:t>of</w:t>
            </w:r>
            <w:proofErr w:type="spellEnd"/>
            <w:r w:rsidRPr="00AB0E3A">
              <w:rPr>
                <w:i/>
                <w:iCs/>
              </w:rPr>
              <w:t xml:space="preserve"> </w:t>
            </w:r>
            <w:proofErr w:type="spellStart"/>
            <w:r w:rsidRPr="00AB0E3A">
              <w:rPr>
                <w:i/>
                <w:iCs/>
              </w:rPr>
              <w:t>Cultural</w:t>
            </w:r>
            <w:proofErr w:type="spellEnd"/>
            <w:r w:rsidRPr="00AB0E3A">
              <w:rPr>
                <w:i/>
                <w:iCs/>
              </w:rPr>
              <w:t xml:space="preserve"> </w:t>
            </w:r>
            <w:proofErr w:type="spellStart"/>
            <w:r w:rsidRPr="00AB0E3A">
              <w:rPr>
                <w:i/>
                <w:iCs/>
              </w:rPr>
              <w:t>Economics</w:t>
            </w:r>
            <w:proofErr w:type="spellEnd"/>
            <w:r w:rsidRPr="00AB0E3A">
              <w:t xml:space="preserve">, </w:t>
            </w:r>
            <w:proofErr w:type="spellStart"/>
            <w:r w:rsidRPr="00AB0E3A">
              <w:t>Cheltenham</w:t>
            </w:r>
            <w:proofErr w:type="spellEnd"/>
            <w:r w:rsidRPr="00AB0E3A">
              <w:t xml:space="preserve">: Edward </w:t>
            </w:r>
            <w:proofErr w:type="spellStart"/>
            <w:r w:rsidRPr="00AB0E3A">
              <w:t>Elgar</w:t>
            </w:r>
            <w:proofErr w:type="spellEnd"/>
            <w:r w:rsidRPr="00AB0E3A">
              <w:t xml:space="preserve"> </w:t>
            </w:r>
            <w:proofErr w:type="spellStart"/>
            <w:r w:rsidRPr="00AB0E3A">
              <w:t>Publishing</w:t>
            </w:r>
            <w:proofErr w:type="spellEnd"/>
            <w:r w:rsidRPr="00AB0E3A">
              <w:t>.</w:t>
            </w:r>
          </w:p>
          <w:p w:rsidR="005B66A3" w:rsidRDefault="005B66A3" w:rsidP="00B6123E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iCs/>
              </w:rPr>
              <w:t xml:space="preserve">Van </w:t>
            </w:r>
            <w:proofErr w:type="spellStart"/>
            <w:r>
              <w:rPr>
                <w:iCs/>
              </w:rPr>
              <w:t>Balen</w:t>
            </w:r>
            <w:proofErr w:type="spellEnd"/>
            <w:r>
              <w:rPr>
                <w:iCs/>
              </w:rPr>
              <w:t xml:space="preserve"> K. &amp; </w:t>
            </w:r>
            <w:proofErr w:type="spellStart"/>
            <w:r>
              <w:rPr>
                <w:iCs/>
              </w:rPr>
              <w:t>Vandesande</w:t>
            </w:r>
            <w:proofErr w:type="spellEnd"/>
            <w:r>
              <w:rPr>
                <w:iCs/>
              </w:rPr>
              <w:t xml:space="preserve"> A. (</w:t>
            </w:r>
            <w:proofErr w:type="spellStart"/>
            <w:r>
              <w:rPr>
                <w:iCs/>
              </w:rPr>
              <w:t>eds</w:t>
            </w:r>
            <w:proofErr w:type="spellEnd"/>
            <w:r>
              <w:rPr>
                <w:iCs/>
              </w:rPr>
              <w:t xml:space="preserve">.) (2016): </w:t>
            </w:r>
            <w:proofErr w:type="spellStart"/>
            <w:r w:rsidRPr="005B66A3">
              <w:rPr>
                <w:i/>
                <w:iCs/>
              </w:rPr>
              <w:t>Heritage</w:t>
            </w:r>
            <w:proofErr w:type="spellEnd"/>
            <w:r w:rsidRPr="005B66A3">
              <w:rPr>
                <w:i/>
                <w:iCs/>
              </w:rPr>
              <w:t xml:space="preserve"> </w:t>
            </w:r>
            <w:proofErr w:type="spellStart"/>
            <w:r w:rsidRPr="005B66A3">
              <w:rPr>
                <w:i/>
                <w:iCs/>
              </w:rPr>
              <w:t>Counts</w:t>
            </w:r>
            <w:proofErr w:type="spellEnd"/>
            <w:r w:rsidRPr="005B66A3">
              <w:rPr>
                <w:iCs/>
              </w:rPr>
              <w:t>,</w:t>
            </w:r>
            <w:r w:rsidRPr="00E5377A">
              <w:rPr>
                <w:iCs/>
              </w:rPr>
              <w:t xml:space="preserve"> </w:t>
            </w:r>
            <w:proofErr w:type="spellStart"/>
            <w:r w:rsidR="00464982">
              <w:rPr>
                <w:iCs/>
              </w:rPr>
              <w:t>Antwerpen-Apeldoorn</w:t>
            </w:r>
            <w:proofErr w:type="spellEnd"/>
            <w:r w:rsidR="00464982">
              <w:rPr>
                <w:iCs/>
              </w:rPr>
              <w:t>: Garant</w:t>
            </w:r>
            <w:r>
              <w:rPr>
                <w:iCs/>
              </w:rPr>
              <w:t>.</w:t>
            </w:r>
          </w:p>
          <w:p w:rsidR="00B6123E" w:rsidRPr="00AB0E3A" w:rsidRDefault="00B6123E" w:rsidP="00B6123E">
            <w:pPr>
              <w:numPr>
                <w:ilvl w:val="0"/>
                <w:numId w:val="5"/>
              </w:numPr>
              <w:spacing w:after="0" w:line="240" w:lineRule="auto"/>
            </w:pPr>
            <w:r w:rsidRPr="00AB0E3A">
              <w:t xml:space="preserve">UNESCO World </w:t>
            </w:r>
            <w:proofErr w:type="spellStart"/>
            <w:r w:rsidRPr="00AB0E3A">
              <w:t>Heritage</w:t>
            </w:r>
            <w:proofErr w:type="spellEnd"/>
            <w:r w:rsidRPr="00AB0E3A">
              <w:t xml:space="preserve"> Centre (2008) </w:t>
            </w:r>
            <w:r w:rsidRPr="00960B9C">
              <w:rPr>
                <w:i/>
              </w:rPr>
              <w:t xml:space="preserve">World </w:t>
            </w:r>
            <w:proofErr w:type="spellStart"/>
            <w:r w:rsidRPr="00960B9C">
              <w:rPr>
                <w:i/>
              </w:rPr>
              <w:t>Heritage</w:t>
            </w:r>
            <w:proofErr w:type="spellEnd"/>
            <w:r w:rsidRPr="00960B9C">
              <w:rPr>
                <w:i/>
              </w:rPr>
              <w:t xml:space="preserve"> </w:t>
            </w:r>
            <w:proofErr w:type="spellStart"/>
            <w:r w:rsidRPr="00960B9C">
              <w:rPr>
                <w:i/>
              </w:rPr>
              <w:t>Information</w:t>
            </w:r>
            <w:proofErr w:type="spellEnd"/>
            <w:r w:rsidRPr="00960B9C">
              <w:rPr>
                <w:i/>
              </w:rPr>
              <w:t xml:space="preserve"> Kit.</w:t>
            </w:r>
            <w:r w:rsidRPr="00AB0E3A">
              <w:t xml:space="preserve"> Paris: UNESCO World </w:t>
            </w:r>
            <w:proofErr w:type="spellStart"/>
            <w:r w:rsidRPr="00AB0E3A">
              <w:t>Heritage</w:t>
            </w:r>
            <w:proofErr w:type="spellEnd"/>
            <w:r w:rsidRPr="00AB0E3A">
              <w:t xml:space="preserve"> Centre</w:t>
            </w:r>
            <w:r w:rsidR="00960B9C">
              <w:t>.</w:t>
            </w:r>
          </w:p>
          <w:p w:rsidR="005028FA" w:rsidRPr="00AB0E3A" w:rsidRDefault="005028FA" w:rsidP="00B6123E">
            <w:pPr>
              <w:numPr>
                <w:ilvl w:val="0"/>
                <w:numId w:val="5"/>
              </w:numPr>
              <w:spacing w:after="0" w:line="240" w:lineRule="auto"/>
            </w:pPr>
            <w:r w:rsidRPr="00AB0E3A">
              <w:t xml:space="preserve">Mišković, D. (2013) Revitalizacija Istarskog zaleđa korištenjem kulturne baštine - istraživački izvještaj nastao u okviru projekta </w:t>
            </w:r>
            <w:proofErr w:type="spellStart"/>
            <w:r w:rsidRPr="00AB0E3A">
              <w:t>Revitas</w:t>
            </w:r>
            <w:proofErr w:type="spellEnd"/>
            <w:r w:rsidRPr="00AB0E3A">
              <w:t xml:space="preserve">. </w:t>
            </w:r>
          </w:p>
          <w:p w:rsidR="005028FA" w:rsidRPr="00AB0E3A" w:rsidRDefault="005028FA" w:rsidP="00B6123E">
            <w:pPr>
              <w:numPr>
                <w:ilvl w:val="0"/>
                <w:numId w:val="5"/>
              </w:numPr>
              <w:spacing w:after="0" w:line="240" w:lineRule="auto"/>
            </w:pPr>
            <w:r w:rsidRPr="00AB0E3A">
              <w:t xml:space="preserve">Ministarstvo turizma Republike Hrvatske (2003) Strategija razvoja kulturnog turizma. Zagreb: Ministarstvo turizma </w:t>
            </w:r>
            <w:bookmarkStart w:id="0" w:name="_GoBack"/>
            <w:bookmarkEnd w:id="0"/>
            <w:r w:rsidRPr="00AB0E3A">
              <w:t>Republike Hrvatske</w:t>
            </w:r>
          </w:p>
          <w:p w:rsidR="005028FA" w:rsidRPr="00AB0E3A" w:rsidRDefault="005028FA" w:rsidP="00B6123E">
            <w:pPr>
              <w:numPr>
                <w:ilvl w:val="0"/>
                <w:numId w:val="5"/>
              </w:numPr>
              <w:spacing w:after="0" w:line="240" w:lineRule="auto"/>
            </w:pPr>
            <w:r w:rsidRPr="00AB0E3A">
              <w:t xml:space="preserve">Ministarstvo kulture i Biblioteka Kulturni razvitak – Velika edicija (2003) </w:t>
            </w:r>
            <w:r w:rsidRPr="00AB0E3A">
              <w:rPr>
                <w:i/>
                <w:iCs/>
              </w:rPr>
              <w:t>Hrvatska u 21. stoljeću. Strategija kulturnog razvitka.</w:t>
            </w:r>
            <w:r w:rsidRPr="00AB0E3A">
              <w:t xml:space="preserve"> Zagreb: Ministarstvo kulture i Biblioteka Kulturni razvitak – Velika edicija</w:t>
            </w:r>
          </w:p>
          <w:p w:rsidR="005028FA" w:rsidRDefault="005028FA" w:rsidP="00B6123E">
            <w:pPr>
              <w:numPr>
                <w:ilvl w:val="0"/>
                <w:numId w:val="5"/>
              </w:numPr>
              <w:spacing w:after="0" w:line="240" w:lineRule="auto"/>
            </w:pPr>
            <w:r w:rsidRPr="00AB0E3A">
              <w:lastRenderedPageBreak/>
              <w:t>Grad Pula (2013) Kulturna strategija Grada Pule 2014. – 2020. Pula: Grad Pula</w:t>
            </w:r>
          </w:p>
          <w:p w:rsidR="005028FA" w:rsidRPr="00AB0E3A" w:rsidRDefault="005028FA" w:rsidP="00B6123E">
            <w:pPr>
              <w:numPr>
                <w:ilvl w:val="0"/>
                <w:numId w:val="5"/>
              </w:numPr>
              <w:spacing w:after="0" w:line="240" w:lineRule="auto"/>
            </w:pPr>
            <w:proofErr w:type="spellStart"/>
            <w:r w:rsidRPr="00AB0E3A">
              <w:t>Gredičak</w:t>
            </w:r>
            <w:proofErr w:type="spellEnd"/>
            <w:r w:rsidRPr="00AB0E3A">
              <w:t xml:space="preserve">, T. (2011) Upravljanje lokalnim ekonomskim razvojem – turistička valorizacija kulturne baštine u funkciji ekonomskog razvoja. Međunarodni znanstveno-stručni skup Modeli upravljanja procesima obnove i razvoja povijesnih gradova. Ivanić-Grad, 11.studeni 2011. </w:t>
            </w:r>
          </w:p>
          <w:p w:rsidR="005028FA" w:rsidRPr="00AB0E3A" w:rsidRDefault="005028FA" w:rsidP="00B6123E">
            <w:pPr>
              <w:numPr>
                <w:ilvl w:val="0"/>
                <w:numId w:val="5"/>
              </w:numPr>
              <w:spacing w:after="0" w:line="240" w:lineRule="auto"/>
            </w:pPr>
            <w:proofErr w:type="spellStart"/>
            <w:r w:rsidRPr="00AB0E3A">
              <w:t>Rivas</w:t>
            </w:r>
            <w:proofErr w:type="spellEnd"/>
            <w:r w:rsidRPr="00AB0E3A">
              <w:t xml:space="preserve">, M. (2011.) </w:t>
            </w:r>
            <w:proofErr w:type="spellStart"/>
            <w:r w:rsidRPr="00AB0E3A">
              <w:rPr>
                <w:i/>
                <w:iCs/>
              </w:rPr>
              <w:t>From</w:t>
            </w:r>
            <w:proofErr w:type="spellEnd"/>
            <w:r w:rsidRPr="00AB0E3A">
              <w:rPr>
                <w:i/>
                <w:iCs/>
              </w:rPr>
              <w:t xml:space="preserve"> </w:t>
            </w:r>
            <w:proofErr w:type="spellStart"/>
            <w:r w:rsidRPr="00AB0E3A">
              <w:rPr>
                <w:i/>
                <w:iCs/>
              </w:rPr>
              <w:t>creative</w:t>
            </w:r>
            <w:proofErr w:type="spellEnd"/>
            <w:r w:rsidRPr="00AB0E3A">
              <w:rPr>
                <w:i/>
                <w:iCs/>
              </w:rPr>
              <w:t xml:space="preserve"> </w:t>
            </w:r>
            <w:proofErr w:type="spellStart"/>
            <w:r w:rsidRPr="00AB0E3A">
              <w:rPr>
                <w:i/>
                <w:iCs/>
              </w:rPr>
              <w:t>industries</w:t>
            </w:r>
            <w:proofErr w:type="spellEnd"/>
            <w:r w:rsidRPr="00AB0E3A">
              <w:rPr>
                <w:i/>
                <w:iCs/>
              </w:rPr>
              <w:t xml:space="preserve"> to </w:t>
            </w:r>
            <w:proofErr w:type="spellStart"/>
            <w:r w:rsidRPr="00AB0E3A">
              <w:rPr>
                <w:i/>
                <w:iCs/>
              </w:rPr>
              <w:t>creative</w:t>
            </w:r>
            <w:proofErr w:type="spellEnd"/>
            <w:r w:rsidRPr="00AB0E3A">
              <w:rPr>
                <w:i/>
                <w:iCs/>
              </w:rPr>
              <w:t xml:space="preserve"> place. </w:t>
            </w:r>
            <w:proofErr w:type="spellStart"/>
            <w:r w:rsidRPr="00AB0E3A">
              <w:rPr>
                <w:i/>
                <w:iCs/>
              </w:rPr>
              <w:t>Refreshing</w:t>
            </w:r>
            <w:proofErr w:type="spellEnd"/>
            <w:r w:rsidRPr="00AB0E3A">
              <w:rPr>
                <w:i/>
                <w:iCs/>
              </w:rPr>
              <w:t xml:space="preserve"> </w:t>
            </w:r>
            <w:proofErr w:type="spellStart"/>
            <w:r w:rsidRPr="00AB0E3A">
              <w:rPr>
                <w:i/>
                <w:iCs/>
              </w:rPr>
              <w:t>the</w:t>
            </w:r>
            <w:proofErr w:type="spellEnd"/>
            <w:r w:rsidRPr="00AB0E3A">
              <w:rPr>
                <w:i/>
                <w:iCs/>
              </w:rPr>
              <w:t xml:space="preserve"> </w:t>
            </w:r>
            <w:proofErr w:type="spellStart"/>
            <w:r w:rsidRPr="00AB0E3A">
              <w:rPr>
                <w:i/>
                <w:iCs/>
              </w:rPr>
              <w:t>local</w:t>
            </w:r>
            <w:proofErr w:type="spellEnd"/>
            <w:r w:rsidRPr="00AB0E3A">
              <w:rPr>
                <w:i/>
                <w:iCs/>
              </w:rPr>
              <w:t xml:space="preserve"> development </w:t>
            </w:r>
            <w:proofErr w:type="spellStart"/>
            <w:r w:rsidRPr="00AB0E3A">
              <w:rPr>
                <w:i/>
                <w:iCs/>
              </w:rPr>
              <w:t>agenda</w:t>
            </w:r>
            <w:proofErr w:type="spellEnd"/>
            <w:r w:rsidRPr="00AB0E3A">
              <w:rPr>
                <w:i/>
                <w:iCs/>
              </w:rPr>
              <w:t xml:space="preserve"> </w:t>
            </w:r>
            <w:proofErr w:type="spellStart"/>
            <w:r w:rsidRPr="00AB0E3A">
              <w:rPr>
                <w:i/>
                <w:iCs/>
              </w:rPr>
              <w:t>in</w:t>
            </w:r>
            <w:proofErr w:type="spellEnd"/>
            <w:r w:rsidRPr="00AB0E3A">
              <w:rPr>
                <w:i/>
                <w:iCs/>
              </w:rPr>
              <w:t xml:space="preserve"> </w:t>
            </w:r>
            <w:proofErr w:type="spellStart"/>
            <w:r w:rsidRPr="00AB0E3A">
              <w:rPr>
                <w:i/>
                <w:iCs/>
              </w:rPr>
              <w:t>small</w:t>
            </w:r>
            <w:proofErr w:type="spellEnd"/>
            <w:r w:rsidRPr="00AB0E3A">
              <w:rPr>
                <w:i/>
                <w:iCs/>
              </w:rPr>
              <w:t xml:space="preserve"> </w:t>
            </w:r>
            <w:proofErr w:type="spellStart"/>
            <w:r w:rsidRPr="00AB0E3A">
              <w:rPr>
                <w:i/>
                <w:iCs/>
              </w:rPr>
              <w:t>and</w:t>
            </w:r>
            <w:proofErr w:type="spellEnd"/>
            <w:r w:rsidRPr="00AB0E3A">
              <w:rPr>
                <w:i/>
                <w:iCs/>
              </w:rPr>
              <w:t xml:space="preserve"> </w:t>
            </w:r>
            <w:proofErr w:type="spellStart"/>
            <w:r w:rsidRPr="00AB0E3A">
              <w:rPr>
                <w:i/>
                <w:iCs/>
              </w:rPr>
              <w:t>medium-sized</w:t>
            </w:r>
            <w:proofErr w:type="spellEnd"/>
            <w:r w:rsidRPr="00AB0E3A">
              <w:rPr>
                <w:i/>
                <w:iCs/>
              </w:rPr>
              <w:t xml:space="preserve"> </w:t>
            </w:r>
            <w:proofErr w:type="spellStart"/>
            <w:r w:rsidRPr="00AB0E3A">
              <w:rPr>
                <w:i/>
                <w:iCs/>
              </w:rPr>
              <w:t>town</w:t>
            </w:r>
            <w:proofErr w:type="spellEnd"/>
            <w:r w:rsidRPr="00AB0E3A">
              <w:rPr>
                <w:i/>
                <w:iCs/>
              </w:rPr>
              <w:t xml:space="preserve">. </w:t>
            </w:r>
            <w:proofErr w:type="spellStart"/>
            <w:r w:rsidRPr="00AB0E3A">
              <w:rPr>
                <w:i/>
                <w:iCs/>
              </w:rPr>
              <w:t>Urbac</w:t>
            </w:r>
            <w:proofErr w:type="spellEnd"/>
            <w:r w:rsidRPr="00AB0E3A">
              <w:rPr>
                <w:i/>
                <w:iCs/>
              </w:rPr>
              <w:t xml:space="preserve"> </w:t>
            </w:r>
            <w:proofErr w:type="spellStart"/>
            <w:r w:rsidRPr="00AB0E3A">
              <w:rPr>
                <w:i/>
                <w:iCs/>
              </w:rPr>
              <w:t>creative</w:t>
            </w:r>
            <w:proofErr w:type="spellEnd"/>
            <w:r w:rsidRPr="00AB0E3A">
              <w:rPr>
                <w:i/>
                <w:iCs/>
              </w:rPr>
              <w:t xml:space="preserve"> </w:t>
            </w:r>
            <w:proofErr w:type="spellStart"/>
            <w:r w:rsidRPr="00AB0E3A">
              <w:rPr>
                <w:i/>
                <w:iCs/>
              </w:rPr>
              <w:t>clusters</w:t>
            </w:r>
            <w:proofErr w:type="spellEnd"/>
            <w:r w:rsidRPr="00AB0E3A">
              <w:t xml:space="preserve"> _ </w:t>
            </w:r>
            <w:proofErr w:type="spellStart"/>
            <w:r w:rsidRPr="00AB0E3A">
              <w:t>Final</w:t>
            </w:r>
            <w:proofErr w:type="spellEnd"/>
            <w:r w:rsidRPr="00AB0E3A">
              <w:t xml:space="preserve"> </w:t>
            </w:r>
            <w:proofErr w:type="spellStart"/>
            <w:r w:rsidRPr="00AB0E3A">
              <w:t>report</w:t>
            </w:r>
            <w:proofErr w:type="spellEnd"/>
            <w:r w:rsidRPr="00AB0E3A">
              <w:t xml:space="preserve"> 2012,Dostupno na: </w:t>
            </w:r>
            <w:hyperlink r:id="rId12" w:history="1">
              <w:r w:rsidRPr="00AB0E3A">
                <w:rPr>
                  <w:rStyle w:val="Hyperlink"/>
                </w:rPr>
                <w:t>http://urbact.eu/fileadmin/Projects/Creative_Clusters/documents_media/LE_CCfinalreport_01.pdf</w:t>
              </w:r>
            </w:hyperlink>
            <w:r w:rsidRPr="00AB0E3A">
              <w:t xml:space="preserve">    </w:t>
            </w:r>
          </w:p>
          <w:p w:rsidR="005028FA" w:rsidRPr="002F5570" w:rsidRDefault="005028FA" w:rsidP="002C2D4E">
            <w:pPr>
              <w:spacing w:after="0" w:line="240" w:lineRule="auto"/>
              <w:ind w:left="720"/>
              <w:rPr>
                <w:rFonts w:ascii="Calibri Light" w:hAnsi="Calibri Light" w:cs="Calibri Light"/>
              </w:rPr>
            </w:pPr>
          </w:p>
        </w:tc>
      </w:tr>
    </w:tbl>
    <w:p w:rsidR="005028FA" w:rsidRPr="0019364D" w:rsidRDefault="005028FA" w:rsidP="00973BDC">
      <w:pPr>
        <w:rPr>
          <w:rFonts w:ascii="Calibri Light" w:hAnsi="Calibri Light" w:cs="Calibri Light"/>
        </w:rPr>
      </w:pPr>
    </w:p>
    <w:sectPr w:rsidR="005028FA" w:rsidRPr="0019364D" w:rsidSect="00540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EA4C25"/>
    <w:multiLevelType w:val="hybridMultilevel"/>
    <w:tmpl w:val="E9AE59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E3C75"/>
    <w:multiLevelType w:val="hybridMultilevel"/>
    <w:tmpl w:val="35601ABA"/>
    <w:lvl w:ilvl="0" w:tplc="EB3E5A80">
      <w:start w:val="1"/>
      <w:numFmt w:val="decimal"/>
      <w:lvlText w:val="%1."/>
      <w:lvlJc w:val="left"/>
      <w:pPr>
        <w:tabs>
          <w:tab w:val="num" w:pos="1369"/>
        </w:tabs>
        <w:ind w:left="1361" w:hanging="641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5125B55"/>
    <w:multiLevelType w:val="hybridMultilevel"/>
    <w:tmpl w:val="14C8969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E1D4965"/>
    <w:multiLevelType w:val="hybridMultilevel"/>
    <w:tmpl w:val="EB6893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C15581"/>
    <w:multiLevelType w:val="hybridMultilevel"/>
    <w:tmpl w:val="67DE167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9C3285"/>
    <w:multiLevelType w:val="hybridMultilevel"/>
    <w:tmpl w:val="F5CE6FC4"/>
    <w:lvl w:ilvl="0" w:tplc="DF0682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B5187D"/>
    <w:multiLevelType w:val="hybridMultilevel"/>
    <w:tmpl w:val="6AB4FD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E4F651C"/>
    <w:multiLevelType w:val="hybridMultilevel"/>
    <w:tmpl w:val="44D4E6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80"/>
    <w:rsid w:val="000474C7"/>
    <w:rsid w:val="0006124A"/>
    <w:rsid w:val="00070A48"/>
    <w:rsid w:val="00087637"/>
    <w:rsid w:val="000B5670"/>
    <w:rsid w:val="000C2FE1"/>
    <w:rsid w:val="000E1A95"/>
    <w:rsid w:val="000E1C31"/>
    <w:rsid w:val="00104EF6"/>
    <w:rsid w:val="00107B08"/>
    <w:rsid w:val="00124184"/>
    <w:rsid w:val="0013620A"/>
    <w:rsid w:val="00136F0D"/>
    <w:rsid w:val="001670B6"/>
    <w:rsid w:val="00175137"/>
    <w:rsid w:val="00186592"/>
    <w:rsid w:val="0019364D"/>
    <w:rsid w:val="0019511E"/>
    <w:rsid w:val="001B57A1"/>
    <w:rsid w:val="001C1433"/>
    <w:rsid w:val="001D4CBB"/>
    <w:rsid w:val="00213700"/>
    <w:rsid w:val="002776EB"/>
    <w:rsid w:val="00285CFE"/>
    <w:rsid w:val="002C2D4E"/>
    <w:rsid w:val="002D53E8"/>
    <w:rsid w:val="002F5570"/>
    <w:rsid w:val="003764B7"/>
    <w:rsid w:val="0038195E"/>
    <w:rsid w:val="00381E0C"/>
    <w:rsid w:val="003E1CB7"/>
    <w:rsid w:val="003E48DB"/>
    <w:rsid w:val="003E6FAF"/>
    <w:rsid w:val="0040278A"/>
    <w:rsid w:val="00403F3E"/>
    <w:rsid w:val="0041414F"/>
    <w:rsid w:val="004265F3"/>
    <w:rsid w:val="00464982"/>
    <w:rsid w:val="004A2720"/>
    <w:rsid w:val="004C3602"/>
    <w:rsid w:val="004C53E1"/>
    <w:rsid w:val="004F2571"/>
    <w:rsid w:val="005028FA"/>
    <w:rsid w:val="00533CD3"/>
    <w:rsid w:val="0054031D"/>
    <w:rsid w:val="0057140E"/>
    <w:rsid w:val="00585132"/>
    <w:rsid w:val="00595E38"/>
    <w:rsid w:val="005B66A3"/>
    <w:rsid w:val="005D2A01"/>
    <w:rsid w:val="005E536A"/>
    <w:rsid w:val="005F5266"/>
    <w:rsid w:val="005F5549"/>
    <w:rsid w:val="005F5A6B"/>
    <w:rsid w:val="0063471F"/>
    <w:rsid w:val="00643620"/>
    <w:rsid w:val="006868E3"/>
    <w:rsid w:val="006B2078"/>
    <w:rsid w:val="00700170"/>
    <w:rsid w:val="0072175E"/>
    <w:rsid w:val="0072579F"/>
    <w:rsid w:val="00753EFD"/>
    <w:rsid w:val="007553AF"/>
    <w:rsid w:val="00780849"/>
    <w:rsid w:val="00797C7A"/>
    <w:rsid w:val="007C4339"/>
    <w:rsid w:val="007F2568"/>
    <w:rsid w:val="00801D67"/>
    <w:rsid w:val="008212EE"/>
    <w:rsid w:val="00867893"/>
    <w:rsid w:val="008952C9"/>
    <w:rsid w:val="008C5CE2"/>
    <w:rsid w:val="008E3BD7"/>
    <w:rsid w:val="00901619"/>
    <w:rsid w:val="00960B9C"/>
    <w:rsid w:val="0096329D"/>
    <w:rsid w:val="009709D1"/>
    <w:rsid w:val="00973BDC"/>
    <w:rsid w:val="00983C3C"/>
    <w:rsid w:val="00990FB5"/>
    <w:rsid w:val="00A37D42"/>
    <w:rsid w:val="00A43E7F"/>
    <w:rsid w:val="00A7113E"/>
    <w:rsid w:val="00AB0E3A"/>
    <w:rsid w:val="00AD54B2"/>
    <w:rsid w:val="00AE27E6"/>
    <w:rsid w:val="00AF4FA0"/>
    <w:rsid w:val="00B4501B"/>
    <w:rsid w:val="00B6123E"/>
    <w:rsid w:val="00B6173C"/>
    <w:rsid w:val="00B813AF"/>
    <w:rsid w:val="00BB3F19"/>
    <w:rsid w:val="00BB58AD"/>
    <w:rsid w:val="00BD3AE5"/>
    <w:rsid w:val="00BE78FF"/>
    <w:rsid w:val="00BF5CB4"/>
    <w:rsid w:val="00C104EB"/>
    <w:rsid w:val="00C26CD1"/>
    <w:rsid w:val="00C65EEC"/>
    <w:rsid w:val="00C919FA"/>
    <w:rsid w:val="00CE2D01"/>
    <w:rsid w:val="00D001B6"/>
    <w:rsid w:val="00D123FE"/>
    <w:rsid w:val="00D25D89"/>
    <w:rsid w:val="00D5143E"/>
    <w:rsid w:val="00D542FD"/>
    <w:rsid w:val="00DA42BF"/>
    <w:rsid w:val="00E03148"/>
    <w:rsid w:val="00E311EC"/>
    <w:rsid w:val="00E50344"/>
    <w:rsid w:val="00E53130"/>
    <w:rsid w:val="00E62E6A"/>
    <w:rsid w:val="00E6661B"/>
    <w:rsid w:val="00E76493"/>
    <w:rsid w:val="00EA6C80"/>
    <w:rsid w:val="00EC6611"/>
    <w:rsid w:val="00EF7C64"/>
    <w:rsid w:val="00F0448B"/>
    <w:rsid w:val="00F219EB"/>
    <w:rsid w:val="00F220D5"/>
    <w:rsid w:val="00F4194E"/>
    <w:rsid w:val="00F708FE"/>
    <w:rsid w:val="00FA04CA"/>
    <w:rsid w:val="00FC5165"/>
    <w:rsid w:val="00FD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7850B1-1D70-4512-B4F8-D09DD84E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31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173C"/>
    <w:pPr>
      <w:ind w:left="720"/>
      <w:contextualSpacing/>
    </w:pPr>
  </w:style>
  <w:style w:type="paragraph" w:customStyle="1" w:styleId="BodyStyle1">
    <w:name w:val="BodyStyle.1"/>
    <w:uiPriority w:val="99"/>
    <w:rsid w:val="000C2FE1"/>
    <w:pPr>
      <w:widowControl w:val="0"/>
      <w:tabs>
        <w:tab w:val="left" w:pos="2080"/>
        <w:tab w:val="left" w:pos="2800"/>
        <w:tab w:val="left" w:pos="3520"/>
        <w:tab w:val="left" w:pos="4240"/>
        <w:tab w:val="left" w:pos="8560"/>
      </w:tabs>
      <w:suppressAutoHyphens/>
      <w:spacing w:line="320" w:lineRule="atLeast"/>
      <w:ind w:left="2080" w:right="1440"/>
    </w:pPr>
    <w:rPr>
      <w:rFonts w:ascii="Times" w:eastAsia="Times New Roman" w:hAnsi="Times" w:cs="Times"/>
      <w:sz w:val="24"/>
      <w:szCs w:val="24"/>
      <w:lang w:val="en-US" w:eastAsia="ar-SA"/>
    </w:rPr>
  </w:style>
  <w:style w:type="character" w:styleId="Hyperlink">
    <w:name w:val="Hyperlink"/>
    <w:basedOn w:val="DefaultParagraphFont"/>
    <w:uiPriority w:val="99"/>
    <w:rsid w:val="006B2078"/>
    <w:rPr>
      <w:color w:val="0563C1"/>
      <w:u w:val="single"/>
    </w:rPr>
  </w:style>
  <w:style w:type="paragraph" w:customStyle="1" w:styleId="ColorfulList-Accent11">
    <w:name w:val="Colorful List - Accent 11"/>
    <w:basedOn w:val="Normal"/>
    <w:uiPriority w:val="99"/>
    <w:rsid w:val="00A37D42"/>
    <w:pPr>
      <w:spacing w:after="0" w:line="240" w:lineRule="auto"/>
      <w:ind w:left="720"/>
      <w:contextualSpacing/>
    </w:pPr>
    <w:rPr>
      <w:rFonts w:ascii="Cambria" w:eastAsia="MS Mincho" w:hAnsi="Cambria" w:cs="Cambria"/>
      <w:sz w:val="24"/>
      <w:szCs w:val="24"/>
      <w:lang w:val="en-US"/>
    </w:rPr>
  </w:style>
  <w:style w:type="character" w:customStyle="1" w:styleId="Emphasis1">
    <w:name w:val="Emphasis1"/>
    <w:uiPriority w:val="99"/>
    <w:rsid w:val="00FD70A4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resources.worldbank.org/EXTSDNET/Resources/Economics_of_Uniquenes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nesdoc.unesco.org/images/0024/002436/243680e.pdf" TargetMode="External"/><Relationship Id="rId12" Type="http://schemas.openxmlformats.org/officeDocument/2006/relationships/hyperlink" Target="http://urbact.eu/fileadmin/Projects/Creative_Clusters/documents_media/LE_CCfinalreport_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catc.org/culturalheritagecountsforeurope/wp-content/uploads/2015/06/CHCfE_FULL-REPORT_v2.pdf" TargetMode="External"/><Relationship Id="rId11" Type="http://schemas.openxmlformats.org/officeDocument/2006/relationships/hyperlink" Target="http://www.irmo.hr/wp-content/uploads/2013/11/Svob-%20%20%20Djokic_Creative_City.pdf" TargetMode="External"/><Relationship Id="rId5" Type="http://schemas.openxmlformats.org/officeDocument/2006/relationships/hyperlink" Target="http://www.ipu.hr/uploads/documents/2212.pdf" TargetMode="External"/><Relationship Id="rId10" Type="http://schemas.openxmlformats.org/officeDocument/2006/relationships/hyperlink" Target="http://heartofistria.org/index.php?id=1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-kulture.hr/userdocsimages/bastina/STRATEGIJA_BASTINE_VRH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1773</Words>
  <Characters>10111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Kod i naziv kolegija</vt:lpstr>
      <vt:lpstr>Kod i naziv kolegija</vt:lpstr>
    </vt:vector>
  </TitlesOfParts>
  <Company/>
  <LinksUpToDate>false</LinksUpToDate>
  <CharactersWithSpaces>11861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 i naziv kolegija</dc:title>
  <dc:subject/>
  <dc:creator>vilic</dc:creator>
  <cp:keywords/>
  <dc:description/>
  <cp:lastModifiedBy>Korisnik</cp:lastModifiedBy>
  <cp:revision>13</cp:revision>
  <dcterms:created xsi:type="dcterms:W3CDTF">2016-10-12T20:57:00Z</dcterms:created>
  <dcterms:modified xsi:type="dcterms:W3CDTF">2016-10-12T21:44:00Z</dcterms:modified>
</cp:coreProperties>
</file>